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90" w:type="pct"/>
        <w:tblInd w:w="-567" w:type="dxa"/>
        <w:shd w:val="clear" w:color="auto" w:fill="FFFFFF"/>
        <w:tblCellMar>
          <w:left w:w="0" w:type="dxa"/>
          <w:right w:w="0" w:type="dxa"/>
        </w:tblCellMar>
        <w:tblLook w:val="04A0" w:firstRow="1" w:lastRow="0" w:firstColumn="1" w:lastColumn="0" w:noHBand="0" w:noVBand="1"/>
      </w:tblPr>
      <w:tblGrid>
        <w:gridCol w:w="10319"/>
      </w:tblGrid>
      <w:tr w:rsidR="00F61652" w:rsidRPr="00F61652" w:rsidTr="00315CC8">
        <w:tc>
          <w:tcPr>
            <w:tcW w:w="5000" w:type="pct"/>
            <w:tcBorders>
              <w:top w:val="nil"/>
              <w:left w:val="nil"/>
              <w:bottom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0319"/>
            </w:tblGrid>
            <w:tr w:rsidR="00F61652" w:rsidRPr="00F61652">
              <w:tc>
                <w:tcPr>
                  <w:tcW w:w="0" w:type="auto"/>
                  <w:tcBorders>
                    <w:top w:val="nil"/>
                    <w:left w:val="nil"/>
                    <w:bottom w:val="nil"/>
                    <w:right w:val="nil"/>
                  </w:tcBorders>
                  <w:vAlign w:val="center"/>
                  <w:hideMark/>
                </w:tcPr>
                <w:tbl>
                  <w:tblPr>
                    <w:tblW w:w="4798" w:type="pct"/>
                    <w:jc w:val="center"/>
                    <w:tblCellMar>
                      <w:left w:w="0" w:type="dxa"/>
                      <w:right w:w="0" w:type="dxa"/>
                    </w:tblCellMar>
                    <w:tblLook w:val="04A0" w:firstRow="1" w:lastRow="0" w:firstColumn="1" w:lastColumn="0" w:noHBand="0" w:noVBand="1"/>
                  </w:tblPr>
                  <w:tblGrid>
                    <w:gridCol w:w="9902"/>
                  </w:tblGrid>
                  <w:tr w:rsidR="00F61652" w:rsidRPr="00F61652" w:rsidTr="00315CC8">
                    <w:trPr>
                      <w:trHeight w:val="1239"/>
                      <w:jc w:val="center"/>
                    </w:trPr>
                    <w:tc>
                      <w:tcPr>
                        <w:tcW w:w="0" w:type="auto"/>
                        <w:tcBorders>
                          <w:top w:val="nil"/>
                          <w:left w:val="nil"/>
                          <w:bottom w:val="nil"/>
                          <w:right w:val="nil"/>
                        </w:tcBorders>
                        <w:vAlign w:val="center"/>
                        <w:hideMark/>
                      </w:tcPr>
                      <w:p w:rsidR="00F61652" w:rsidRPr="004B6BCF" w:rsidRDefault="00BB39FB" w:rsidP="00F61652">
                        <w:pPr>
                          <w:widowControl/>
                          <w:jc w:val="center"/>
                          <w:rPr>
                            <w:rFonts w:ascii="宋体" w:eastAsia="宋体" w:hAnsi="宋体" w:cs="宋体"/>
                            <w:kern w:val="0"/>
                            <w:sz w:val="30"/>
                            <w:szCs w:val="30"/>
                          </w:rPr>
                        </w:pPr>
                        <w:r>
                          <w:rPr>
                            <w:rFonts w:ascii="宋体" w:eastAsia="宋体" w:hAnsi="宋体" w:cs="宋体" w:hint="eastAsia"/>
                            <w:b/>
                            <w:bCs/>
                            <w:color w:val="006DA6"/>
                            <w:kern w:val="0"/>
                            <w:sz w:val="30"/>
                            <w:szCs w:val="30"/>
                          </w:rPr>
                          <w:t xml:space="preserve">    </w:t>
                        </w:r>
                        <w:r w:rsidR="00F61652" w:rsidRPr="004B6BCF">
                          <w:rPr>
                            <w:rFonts w:ascii="宋体" w:eastAsia="宋体" w:hAnsi="宋体" w:cs="宋体" w:hint="eastAsia"/>
                            <w:b/>
                            <w:bCs/>
                            <w:kern w:val="0"/>
                            <w:sz w:val="30"/>
                            <w:szCs w:val="30"/>
                          </w:rPr>
                          <w:t>关于做好2018年上半年学位论文答辩工作的通知</w:t>
                        </w:r>
                      </w:p>
                    </w:tc>
                  </w:tr>
                  <w:tr w:rsidR="00F61652" w:rsidRPr="00F61652" w:rsidTr="00315CC8">
                    <w:trPr>
                      <w:trHeight w:val="354"/>
                      <w:jc w:val="center"/>
                    </w:trPr>
                    <w:tc>
                      <w:tcPr>
                        <w:tcW w:w="0" w:type="auto"/>
                        <w:tcBorders>
                          <w:top w:val="nil"/>
                          <w:left w:val="nil"/>
                          <w:bottom w:val="nil"/>
                          <w:right w:val="nil"/>
                        </w:tcBorders>
                        <w:vAlign w:val="center"/>
                        <w:hideMark/>
                      </w:tcPr>
                      <w:p w:rsidR="00F61652" w:rsidRPr="00F61652" w:rsidRDefault="00F61652" w:rsidP="00F61652">
                        <w:pPr>
                          <w:widowControl/>
                          <w:jc w:val="left"/>
                          <w:rPr>
                            <w:rFonts w:ascii="宋体" w:eastAsia="宋体" w:hAnsi="宋体" w:cs="宋体"/>
                            <w:kern w:val="0"/>
                            <w:sz w:val="18"/>
                            <w:szCs w:val="18"/>
                          </w:rPr>
                        </w:pPr>
                      </w:p>
                    </w:tc>
                  </w:tr>
                </w:tbl>
                <w:p w:rsidR="00F61652" w:rsidRPr="00F61652" w:rsidRDefault="00F61652" w:rsidP="00F61652">
                  <w:pPr>
                    <w:widowControl/>
                    <w:jc w:val="center"/>
                    <w:rPr>
                      <w:rFonts w:ascii="宋体" w:eastAsia="宋体" w:hAnsi="宋体" w:cs="宋体"/>
                      <w:kern w:val="0"/>
                      <w:sz w:val="18"/>
                      <w:szCs w:val="18"/>
                    </w:rPr>
                  </w:pPr>
                </w:p>
              </w:tc>
            </w:tr>
          </w:tbl>
          <w:p w:rsidR="00F61652" w:rsidRPr="00F61652" w:rsidRDefault="00F61652" w:rsidP="00F61652">
            <w:pPr>
              <w:widowControl/>
              <w:jc w:val="left"/>
              <w:rPr>
                <w:rFonts w:ascii="微软雅黑" w:eastAsia="微软雅黑" w:hAnsi="微软雅黑" w:cs="宋体"/>
                <w:color w:val="333333"/>
                <w:kern w:val="0"/>
                <w:sz w:val="18"/>
                <w:szCs w:val="18"/>
              </w:rPr>
            </w:pPr>
          </w:p>
        </w:tc>
      </w:tr>
      <w:tr w:rsidR="00F61652" w:rsidRPr="00F61652" w:rsidTr="00315CC8">
        <w:tc>
          <w:tcPr>
            <w:tcW w:w="5000" w:type="pct"/>
            <w:tcBorders>
              <w:top w:val="nil"/>
              <w:left w:val="nil"/>
              <w:bottom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6"/>
              <w:gridCol w:w="10313"/>
            </w:tblGrid>
            <w:tr w:rsidR="00F61652" w:rsidRPr="00F61652">
              <w:tc>
                <w:tcPr>
                  <w:tcW w:w="270" w:type="dxa"/>
                  <w:tcBorders>
                    <w:top w:val="nil"/>
                    <w:left w:val="nil"/>
                    <w:bottom w:val="nil"/>
                    <w:right w:val="nil"/>
                  </w:tcBorders>
                  <w:vAlign w:val="center"/>
                  <w:hideMark/>
                </w:tcPr>
                <w:p w:rsidR="00F61652" w:rsidRPr="00F61652" w:rsidRDefault="00F61652" w:rsidP="00F61652">
                  <w:pPr>
                    <w:widowControl/>
                    <w:jc w:val="left"/>
                    <w:rPr>
                      <w:rFonts w:ascii="宋体" w:eastAsia="宋体" w:hAnsi="宋体" w:cs="宋体"/>
                      <w:kern w:val="0"/>
                      <w:sz w:val="18"/>
                      <w:szCs w:val="18"/>
                    </w:rPr>
                  </w:pPr>
                </w:p>
              </w:tc>
              <w:tc>
                <w:tcPr>
                  <w:tcW w:w="0" w:type="auto"/>
                  <w:tcBorders>
                    <w:top w:val="nil"/>
                    <w:left w:val="nil"/>
                    <w:bottom w:val="nil"/>
                    <w:right w:val="nil"/>
                  </w:tcBorders>
                  <w:hideMark/>
                </w:tcPr>
                <w:tbl>
                  <w:tblPr>
                    <w:tblW w:w="4279" w:type="pct"/>
                    <w:jc w:val="center"/>
                    <w:tblCellMar>
                      <w:left w:w="0" w:type="dxa"/>
                      <w:right w:w="0" w:type="dxa"/>
                    </w:tblCellMar>
                    <w:tblLook w:val="04A0" w:firstRow="1" w:lastRow="0" w:firstColumn="1" w:lastColumn="0" w:noHBand="0" w:noVBand="1"/>
                  </w:tblPr>
                  <w:tblGrid>
                    <w:gridCol w:w="10313"/>
                  </w:tblGrid>
                  <w:tr w:rsidR="00F61652" w:rsidRPr="00F61652" w:rsidTr="00F61652">
                    <w:trPr>
                      <w:trHeight w:val="5400"/>
                      <w:jc w:val="center"/>
                    </w:trPr>
                    <w:tc>
                      <w:tcPr>
                        <w:tcW w:w="5000" w:type="pct"/>
                        <w:tcBorders>
                          <w:top w:val="nil"/>
                          <w:left w:val="nil"/>
                          <w:bottom w:val="nil"/>
                          <w:right w:val="nil"/>
                        </w:tcBorders>
                        <w:hideMark/>
                      </w:tcPr>
                      <w:p w:rsidR="00F61652" w:rsidRPr="00F61652" w:rsidRDefault="00F61652" w:rsidP="00F61652">
                        <w:pPr>
                          <w:widowControl/>
                          <w:spacing w:line="600" w:lineRule="atLeast"/>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各有关单位：</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2018年上半年申请学位论文答辩工作已经开始。</w:t>
                        </w:r>
                        <w:bookmarkStart w:id="0" w:name="_GoBack"/>
                        <w:bookmarkEnd w:id="0"/>
                        <w:r w:rsidRPr="00F61652">
                          <w:rPr>
                            <w:rFonts w:ascii="仿宋_GB2312" w:eastAsia="仿宋_GB2312" w:hAnsi="宋体" w:cs="宋体" w:hint="eastAsia"/>
                            <w:kern w:val="0"/>
                            <w:sz w:val="32"/>
                            <w:szCs w:val="32"/>
                            <w:bdr w:val="none" w:sz="0" w:space="0" w:color="auto" w:frame="1"/>
                          </w:rPr>
                          <w:t>为保证论文答辩工作的正常有序进行，现通知如下：</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b/>
                            <w:bCs/>
                            <w:kern w:val="0"/>
                            <w:sz w:val="32"/>
                          </w:rPr>
                          <w:t>一、学位论文质量监控工作（工作程序第一步）</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1.根据《安徽医科大学研究生学位论文质量监控工作实施办法（试行）》（校学位字〔2011〕3号）文件规定，研究生学院将对本次申请答辩的统招研究生学位论文进行复制比检测。</w:t>
                        </w:r>
                      </w:p>
                      <w:p w:rsidR="00F61652" w:rsidRPr="00F61652" w:rsidRDefault="00F61652" w:rsidP="00F61652">
                        <w:pPr>
                          <w:widowControl/>
                          <w:spacing w:line="315"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2.请各学院研究生管理部门收齐本单位研究生学位论文电子版终稿（要求为doc格式，符合学校</w:t>
                        </w:r>
                        <w:r w:rsidRPr="00F61652">
                          <w:rPr>
                            <w:rFonts w:ascii="仿宋_GB2312" w:eastAsia="仿宋_GB2312" w:hAnsi="宋体" w:cs="宋体" w:hint="eastAsia"/>
                            <w:b/>
                            <w:bCs/>
                            <w:kern w:val="0"/>
                            <w:sz w:val="32"/>
                          </w:rPr>
                          <w:t>学位论文撰写要求</w:t>
                        </w:r>
                        <w:r w:rsidRPr="00F61652">
                          <w:rPr>
                            <w:rFonts w:ascii="仿宋_GB2312" w:eastAsia="仿宋_GB2312" w:hAnsi="宋体" w:cs="宋体" w:hint="eastAsia"/>
                            <w:kern w:val="0"/>
                            <w:sz w:val="32"/>
                            <w:szCs w:val="32"/>
                            <w:bdr w:val="none" w:sz="0" w:space="0" w:color="auto" w:frame="1"/>
                          </w:rPr>
                          <w:t>规定，以“</w:t>
                        </w:r>
                        <w:r w:rsidRPr="00F61652">
                          <w:rPr>
                            <w:rFonts w:ascii="仿宋_GB2312" w:eastAsia="仿宋_GB2312" w:hAnsi="宋体" w:cs="宋体" w:hint="eastAsia"/>
                            <w:b/>
                            <w:bCs/>
                            <w:kern w:val="0"/>
                            <w:sz w:val="32"/>
                          </w:rPr>
                          <w:t>作者姓名-学号-论文题目</w:t>
                        </w:r>
                        <w:r w:rsidRPr="00F61652">
                          <w:rPr>
                            <w:rFonts w:ascii="仿宋_GB2312" w:eastAsia="仿宋_GB2312" w:hAnsi="宋体" w:cs="宋体" w:hint="eastAsia"/>
                            <w:kern w:val="0"/>
                            <w:sz w:val="32"/>
                            <w:szCs w:val="32"/>
                            <w:bdr w:val="none" w:sz="0" w:space="0" w:color="auto" w:frame="1"/>
                          </w:rPr>
                          <w:t>”方式命名），务必于</w:t>
                        </w:r>
                        <w:r w:rsidRPr="00F61652">
                          <w:rPr>
                            <w:rFonts w:ascii="仿宋_GB2312" w:eastAsia="仿宋_GB2312" w:hAnsi="宋体" w:cs="宋体" w:hint="eastAsia"/>
                            <w:kern w:val="0"/>
                            <w:sz w:val="32"/>
                            <w:szCs w:val="32"/>
                            <w:u w:val="single"/>
                            <w:bdr w:val="none" w:sz="0" w:space="0" w:color="auto" w:frame="1"/>
                          </w:rPr>
                          <w:t>2018年3月13日</w:t>
                        </w:r>
                        <w:r w:rsidRPr="00F61652">
                          <w:rPr>
                            <w:rFonts w:ascii="仿宋_GB2312" w:eastAsia="仿宋_GB2312" w:hAnsi="宋体" w:cs="宋体" w:hint="eastAsia"/>
                            <w:kern w:val="0"/>
                            <w:sz w:val="32"/>
                            <w:szCs w:val="32"/>
                            <w:bdr w:val="none" w:sz="0" w:space="0" w:color="auto" w:frame="1"/>
                          </w:rPr>
                          <w:t>前提交至研究生学院培养办，四天内反馈检测结果。若总复制比≥50%（以第一作者已发表文章在内的，参考去除已发表复制比，下同），不予送审；若复制比高于20%且小于50%，则修改论文，修改完成后，进行第二次复制比检测，若第二次仍高于20%，则本次不再送审；若复制比≤20%，导师指导学生修改论文，把关后可进行送审。</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3.学位论文复制比检测合格者方可进入论文评阅工作，不合格者将根据上述办法进行处理。</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b/>
                            <w:bCs/>
                            <w:kern w:val="0"/>
                            <w:sz w:val="32"/>
                          </w:rPr>
                          <w:t>二、学位论文评阅工作（工作程序第二步）</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1.上述复制比</w:t>
                        </w:r>
                        <w:r w:rsidRPr="00F61652">
                          <w:rPr>
                            <w:rFonts w:ascii="仿宋_GB2312" w:eastAsia="仿宋_GB2312" w:hAnsi="宋体" w:cs="宋体" w:hint="eastAsia"/>
                            <w:b/>
                            <w:bCs/>
                            <w:kern w:val="0"/>
                            <w:sz w:val="32"/>
                          </w:rPr>
                          <w:t>检测合格者</w:t>
                        </w:r>
                        <w:r w:rsidRPr="00F61652">
                          <w:rPr>
                            <w:rFonts w:ascii="仿宋_GB2312" w:eastAsia="仿宋_GB2312" w:hAnsi="宋体" w:cs="宋体" w:hint="eastAsia"/>
                            <w:kern w:val="0"/>
                            <w:sz w:val="32"/>
                            <w:szCs w:val="32"/>
                            <w:bdr w:val="none" w:sz="0" w:space="0" w:color="auto" w:frame="1"/>
                          </w:rPr>
                          <w:t>将进入下述学位论文评阅工作，合格者需填写《2018年上半年研究生学位论文检测结果确认书》（见</w:t>
                        </w:r>
                        <w:r w:rsidRPr="00F61652">
                          <w:rPr>
                            <w:rFonts w:ascii="仿宋_GB2312" w:eastAsia="仿宋_GB2312" w:hAnsi="宋体" w:cs="宋体" w:hint="eastAsia"/>
                            <w:b/>
                            <w:bCs/>
                            <w:kern w:val="0"/>
                            <w:sz w:val="32"/>
                          </w:rPr>
                          <w:t>附件一</w:t>
                        </w:r>
                        <w:r w:rsidRPr="00F61652">
                          <w:rPr>
                            <w:rFonts w:ascii="仿宋_GB2312" w:eastAsia="仿宋_GB2312" w:hAnsi="宋体" w:cs="宋体" w:hint="eastAsia"/>
                            <w:kern w:val="0"/>
                            <w:sz w:val="32"/>
                            <w:szCs w:val="32"/>
                            <w:bdr w:val="none" w:sz="0" w:space="0" w:color="auto" w:frame="1"/>
                          </w:rPr>
                          <w:t>），</w:t>
                        </w:r>
                        <w:r w:rsidRPr="00F61652">
                          <w:rPr>
                            <w:rFonts w:ascii="仿宋_GB2312" w:eastAsia="仿宋_GB2312" w:hAnsi="宋体" w:cs="宋体" w:hint="eastAsia"/>
                            <w:b/>
                            <w:bCs/>
                            <w:kern w:val="0"/>
                            <w:sz w:val="32"/>
                          </w:rPr>
                          <w:t>导师是第一责任人并在确认书上签字，所在培养单位要严格审查，签字盖章后</w:t>
                        </w:r>
                        <w:r w:rsidRPr="00F61652">
                          <w:rPr>
                            <w:rFonts w:ascii="仿宋_GB2312" w:eastAsia="仿宋_GB2312" w:hAnsi="宋体" w:cs="宋体" w:hint="eastAsia"/>
                            <w:b/>
                            <w:bCs/>
                            <w:kern w:val="0"/>
                            <w:sz w:val="32"/>
                          </w:rPr>
                          <w:lastRenderedPageBreak/>
                          <w:t>将原件交研究生学院，复印件存档备查。</w:t>
                        </w:r>
                      </w:p>
                      <w:p w:rsidR="00F61652" w:rsidRPr="00F61652" w:rsidRDefault="00F61652" w:rsidP="00F61652">
                        <w:pPr>
                          <w:widowControl/>
                          <w:spacing w:line="585"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2.统招</w:t>
                        </w:r>
                        <w:r w:rsidRPr="00F61652">
                          <w:rPr>
                            <w:rFonts w:ascii="仿宋_GB2312" w:eastAsia="仿宋_GB2312" w:hAnsi="宋体" w:cs="宋体" w:hint="eastAsia"/>
                            <w:b/>
                            <w:bCs/>
                            <w:kern w:val="0"/>
                            <w:sz w:val="32"/>
                          </w:rPr>
                          <w:t>全体</w:t>
                        </w:r>
                        <w:r w:rsidRPr="00F61652">
                          <w:rPr>
                            <w:rFonts w:ascii="仿宋_GB2312" w:eastAsia="仿宋_GB2312" w:hAnsi="宋体" w:cs="宋体" w:hint="eastAsia"/>
                            <w:kern w:val="0"/>
                            <w:sz w:val="32"/>
                            <w:szCs w:val="32"/>
                            <w:bdr w:val="none" w:sz="0" w:space="0" w:color="auto" w:frame="1"/>
                          </w:rPr>
                          <w:t>博士（研究生学院送审3本，培养单位送审2本，培养单位送审结果盖章后的复印件汇总到研究生学院后换取研究生学院3本送审结果）、</w:t>
                        </w:r>
                        <w:r w:rsidRPr="00F61652">
                          <w:rPr>
                            <w:rFonts w:ascii="仿宋_GB2312" w:eastAsia="仿宋_GB2312" w:hAnsi="宋体" w:cs="宋体" w:hint="eastAsia"/>
                            <w:b/>
                            <w:bCs/>
                            <w:kern w:val="0"/>
                            <w:sz w:val="32"/>
                          </w:rPr>
                          <w:t>部分学术型</w:t>
                        </w:r>
                        <w:r w:rsidRPr="00F61652">
                          <w:rPr>
                            <w:rFonts w:ascii="仿宋_GB2312" w:eastAsia="仿宋_GB2312" w:hAnsi="宋体" w:cs="宋体" w:hint="eastAsia"/>
                            <w:kern w:val="0"/>
                            <w:sz w:val="32"/>
                            <w:szCs w:val="32"/>
                            <w:bdr w:val="none" w:sz="0" w:space="0" w:color="auto" w:frame="1"/>
                          </w:rPr>
                          <w:t>硕士和</w:t>
                        </w:r>
                        <w:r w:rsidRPr="00F61652">
                          <w:rPr>
                            <w:rFonts w:ascii="仿宋_GB2312" w:eastAsia="仿宋_GB2312" w:hAnsi="宋体" w:cs="宋体" w:hint="eastAsia"/>
                            <w:b/>
                            <w:bCs/>
                            <w:kern w:val="0"/>
                            <w:sz w:val="32"/>
                          </w:rPr>
                          <w:t>所有</w:t>
                        </w:r>
                        <w:r w:rsidRPr="00F61652">
                          <w:rPr>
                            <w:rFonts w:ascii="仿宋_GB2312" w:eastAsia="仿宋_GB2312" w:hAnsi="宋体" w:cs="宋体" w:hint="eastAsia"/>
                            <w:kern w:val="0"/>
                            <w:sz w:val="32"/>
                            <w:szCs w:val="32"/>
                            <w:bdr w:val="none" w:sz="0" w:space="0" w:color="auto" w:frame="1"/>
                          </w:rPr>
                          <w:t>延期毕业硕士生（</w:t>
                        </w:r>
                        <w:r w:rsidRPr="00F61652">
                          <w:rPr>
                            <w:rFonts w:ascii="仿宋_GB2312" w:eastAsia="仿宋_GB2312" w:hAnsi="宋体" w:cs="宋体" w:hint="eastAsia"/>
                            <w:b/>
                            <w:bCs/>
                            <w:kern w:val="0"/>
                            <w:sz w:val="32"/>
                          </w:rPr>
                          <w:t>见附件二</w:t>
                        </w:r>
                        <w:r w:rsidRPr="00F61652">
                          <w:rPr>
                            <w:rFonts w:ascii="仿宋_GB2312" w:eastAsia="仿宋_GB2312" w:hAnsi="宋体" w:cs="宋体" w:hint="eastAsia"/>
                            <w:kern w:val="0"/>
                            <w:sz w:val="32"/>
                            <w:szCs w:val="32"/>
                            <w:bdr w:val="none" w:sz="0" w:space="0" w:color="auto" w:frame="1"/>
                          </w:rPr>
                          <w:t>）学位论文评阅工作由研究生学院统一组织，其余研究生学位论文由培养单位送审。请各学院研究生管理部门</w:t>
                        </w:r>
                        <w:r w:rsidRPr="00F61652">
                          <w:rPr>
                            <w:rFonts w:ascii="仿宋_GB2312" w:eastAsia="仿宋_GB2312" w:hAnsi="宋体" w:cs="宋体" w:hint="eastAsia"/>
                            <w:b/>
                            <w:bCs/>
                            <w:kern w:val="0"/>
                            <w:sz w:val="32"/>
                          </w:rPr>
                          <w:t>收齐</w:t>
                        </w:r>
                        <w:r w:rsidRPr="00F61652">
                          <w:rPr>
                            <w:rFonts w:ascii="仿宋_GB2312" w:eastAsia="仿宋_GB2312" w:hAnsi="宋体" w:cs="宋体" w:hint="eastAsia"/>
                            <w:kern w:val="0"/>
                            <w:sz w:val="32"/>
                            <w:szCs w:val="32"/>
                            <w:bdr w:val="none" w:sz="0" w:space="0" w:color="auto" w:frame="1"/>
                          </w:rPr>
                          <w:t>上述研究生学院抽取且检测合格学位论文的如下电子版和纸质</w:t>
                        </w:r>
                        <w:proofErr w:type="gramStart"/>
                        <w:r w:rsidRPr="00F61652">
                          <w:rPr>
                            <w:rFonts w:ascii="仿宋_GB2312" w:eastAsia="仿宋_GB2312" w:hAnsi="宋体" w:cs="宋体" w:hint="eastAsia"/>
                            <w:kern w:val="0"/>
                            <w:sz w:val="32"/>
                            <w:szCs w:val="32"/>
                            <w:bdr w:val="none" w:sz="0" w:space="0" w:color="auto" w:frame="1"/>
                          </w:rPr>
                          <w:t>版材料</w:t>
                        </w:r>
                        <w:proofErr w:type="gramEnd"/>
                        <w:r w:rsidRPr="00F61652">
                          <w:rPr>
                            <w:rFonts w:ascii="仿宋_GB2312" w:eastAsia="仿宋_GB2312" w:hAnsi="宋体" w:cs="宋体" w:hint="eastAsia"/>
                            <w:kern w:val="0"/>
                            <w:sz w:val="32"/>
                            <w:szCs w:val="32"/>
                            <w:bdr w:val="none" w:sz="0" w:space="0" w:color="auto" w:frame="1"/>
                          </w:rPr>
                          <w:t>于</w:t>
                        </w:r>
                        <w:r w:rsidRPr="00F61652">
                          <w:rPr>
                            <w:rFonts w:ascii="仿宋_GB2312" w:eastAsia="仿宋_GB2312" w:hAnsi="宋体" w:cs="宋体" w:hint="eastAsia"/>
                            <w:kern w:val="0"/>
                            <w:sz w:val="32"/>
                            <w:szCs w:val="32"/>
                            <w:u w:val="single"/>
                            <w:bdr w:val="none" w:sz="0" w:space="0" w:color="auto" w:frame="1"/>
                          </w:rPr>
                          <w:t>2018年3月20日</w:t>
                        </w:r>
                        <w:r w:rsidRPr="00F61652">
                          <w:rPr>
                            <w:rFonts w:ascii="仿宋_GB2312" w:eastAsia="仿宋_GB2312" w:hAnsi="宋体" w:cs="宋体" w:hint="eastAsia"/>
                            <w:kern w:val="0"/>
                            <w:sz w:val="32"/>
                            <w:szCs w:val="32"/>
                            <w:bdr w:val="none" w:sz="0" w:space="0" w:color="auto" w:frame="1"/>
                          </w:rPr>
                          <w:t>前交给研究生学院培养办：①学位论文（含综述，删除“附录”、“致谢”和其他有关学生、导师、培养单位名称等内容）。</w:t>
                        </w:r>
                        <w:r w:rsidRPr="00F61652">
                          <w:rPr>
                            <w:rFonts w:ascii="仿宋_GB2312" w:eastAsia="仿宋_GB2312" w:hAnsi="宋体" w:cs="宋体" w:hint="eastAsia"/>
                            <w:b/>
                            <w:bCs/>
                            <w:kern w:val="0"/>
                            <w:sz w:val="32"/>
                          </w:rPr>
                          <w:t>PDF电子版</w:t>
                        </w:r>
                        <w:r w:rsidRPr="00F61652">
                          <w:rPr>
                            <w:rFonts w:ascii="仿宋_GB2312" w:eastAsia="仿宋_GB2312" w:hAnsi="宋体" w:cs="宋体" w:hint="eastAsia"/>
                            <w:kern w:val="0"/>
                            <w:sz w:val="32"/>
                            <w:szCs w:val="32"/>
                            <w:bdr w:val="none" w:sz="0" w:space="0" w:color="auto" w:frame="1"/>
                          </w:rPr>
                          <w:t>命名为“论文题目#学号.</w:t>
                        </w:r>
                        <w:proofErr w:type="spellStart"/>
                        <w:r w:rsidRPr="00F61652">
                          <w:rPr>
                            <w:rFonts w:ascii="仿宋_GB2312" w:eastAsia="仿宋_GB2312" w:hAnsi="宋体" w:cs="宋体" w:hint="eastAsia"/>
                            <w:kern w:val="0"/>
                            <w:sz w:val="32"/>
                            <w:szCs w:val="32"/>
                            <w:bdr w:val="none" w:sz="0" w:space="0" w:color="auto" w:frame="1"/>
                          </w:rPr>
                          <w:t>pdf</w:t>
                        </w:r>
                        <w:proofErr w:type="spellEnd"/>
                        <w:r w:rsidRPr="00F61652">
                          <w:rPr>
                            <w:rFonts w:ascii="仿宋_GB2312" w:eastAsia="仿宋_GB2312" w:hAnsi="宋体" w:cs="宋体" w:hint="eastAsia"/>
                            <w:kern w:val="0"/>
                            <w:sz w:val="32"/>
                            <w:szCs w:val="32"/>
                            <w:bdr w:val="none" w:sz="0" w:space="0" w:color="auto" w:frame="1"/>
                          </w:rPr>
                          <w:t>”，</w:t>
                        </w:r>
                        <w:r w:rsidRPr="00F61652">
                          <w:rPr>
                            <w:rFonts w:ascii="仿宋_GB2312" w:eastAsia="仿宋_GB2312" w:hAnsi="宋体" w:cs="宋体" w:hint="eastAsia"/>
                            <w:b/>
                            <w:bCs/>
                            <w:kern w:val="0"/>
                            <w:sz w:val="32"/>
                          </w:rPr>
                          <w:t>胶装成册纸质版</w:t>
                        </w:r>
                        <w:r w:rsidRPr="00F61652">
                          <w:rPr>
                            <w:rFonts w:ascii="仿宋_GB2312" w:eastAsia="仿宋_GB2312" w:hAnsi="宋体" w:cs="宋体" w:hint="eastAsia"/>
                            <w:kern w:val="0"/>
                            <w:sz w:val="32"/>
                            <w:szCs w:val="32"/>
                            <w:bdr w:val="none" w:sz="0" w:space="0" w:color="auto" w:frame="1"/>
                          </w:rPr>
                          <w:t>（封面统一用皮纹纸胶印，科学学位博士用深红色，专业学位博士用橘红色，科学学位硕士用淡黄色，专业学位硕士用淡绿色）硕士交2本、博士交3本；②《安徽医科大学博士/硕士学位论文评阅人评价表》（</w:t>
                        </w:r>
                        <w:r w:rsidRPr="00F61652">
                          <w:rPr>
                            <w:rFonts w:ascii="仿宋_GB2312" w:eastAsia="仿宋_GB2312" w:hAnsi="宋体" w:cs="宋体" w:hint="eastAsia"/>
                            <w:b/>
                            <w:bCs/>
                            <w:kern w:val="0"/>
                            <w:sz w:val="32"/>
                          </w:rPr>
                          <w:t>见附件三和附件四</w:t>
                        </w:r>
                        <w:r w:rsidRPr="00F61652">
                          <w:rPr>
                            <w:rFonts w:ascii="仿宋_GB2312" w:eastAsia="仿宋_GB2312" w:hAnsi="宋体" w:cs="宋体" w:hint="eastAsia"/>
                            <w:kern w:val="0"/>
                            <w:sz w:val="32"/>
                            <w:szCs w:val="32"/>
                            <w:bdr w:val="none" w:sz="0" w:space="0" w:color="auto" w:frame="1"/>
                          </w:rPr>
                          <w:t>，第1页由博士/硕士生本人填写，其余由评阅专家填写）。</w:t>
                        </w:r>
                        <w:r w:rsidRPr="00F61652">
                          <w:rPr>
                            <w:rFonts w:ascii="仿宋_GB2312" w:eastAsia="仿宋_GB2312" w:hAnsi="宋体" w:cs="宋体" w:hint="eastAsia"/>
                            <w:b/>
                            <w:bCs/>
                            <w:kern w:val="0"/>
                            <w:sz w:val="32"/>
                          </w:rPr>
                          <w:t>word电子版</w:t>
                        </w:r>
                        <w:r w:rsidRPr="00F61652">
                          <w:rPr>
                            <w:rFonts w:ascii="仿宋_GB2312" w:eastAsia="仿宋_GB2312" w:hAnsi="宋体" w:cs="宋体" w:hint="eastAsia"/>
                            <w:kern w:val="0"/>
                            <w:sz w:val="32"/>
                            <w:szCs w:val="32"/>
                            <w:bdr w:val="none" w:sz="0" w:space="0" w:color="auto" w:frame="1"/>
                          </w:rPr>
                          <w:t>命名为“学号-论文题目.doc”，</w:t>
                        </w:r>
                        <w:r w:rsidRPr="00F61652">
                          <w:rPr>
                            <w:rFonts w:ascii="仿宋_GB2312" w:eastAsia="仿宋_GB2312" w:hAnsi="宋体" w:cs="宋体" w:hint="eastAsia"/>
                            <w:b/>
                            <w:bCs/>
                            <w:kern w:val="0"/>
                            <w:sz w:val="32"/>
                          </w:rPr>
                          <w:t>纸质版</w:t>
                        </w:r>
                        <w:r w:rsidRPr="00F61652">
                          <w:rPr>
                            <w:rFonts w:ascii="仿宋_GB2312" w:eastAsia="仿宋_GB2312" w:hAnsi="宋体" w:cs="宋体" w:hint="eastAsia"/>
                            <w:kern w:val="0"/>
                            <w:sz w:val="32"/>
                            <w:szCs w:val="32"/>
                            <w:bdr w:val="none" w:sz="0" w:space="0" w:color="auto" w:frame="1"/>
                          </w:rPr>
                          <w:t>硕士交2份、博士交3份；③2018年上半年学位论文评阅汇总表电子版一份</w:t>
                        </w:r>
                        <w:r w:rsidRPr="00F61652">
                          <w:rPr>
                            <w:rFonts w:ascii="仿宋_GB2312" w:eastAsia="仿宋_GB2312" w:hAnsi="宋体" w:cs="宋体" w:hint="eastAsia"/>
                            <w:b/>
                            <w:bCs/>
                            <w:kern w:val="0"/>
                            <w:sz w:val="32"/>
                          </w:rPr>
                          <w:t>（见附件五）</w:t>
                        </w:r>
                        <w:r w:rsidRPr="00F61652">
                          <w:rPr>
                            <w:rFonts w:ascii="仿宋_GB2312" w:eastAsia="仿宋_GB2312" w:hAnsi="宋体" w:cs="宋体" w:hint="eastAsia"/>
                            <w:kern w:val="0"/>
                            <w:sz w:val="32"/>
                            <w:szCs w:val="32"/>
                            <w:bdr w:val="none" w:sz="0" w:space="0" w:color="auto" w:frame="1"/>
                          </w:rPr>
                          <w:t>。培养单位送审的学位论文，评阅工作时间节点自行安排并告知所在单位研究生。</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MPH、台湾地区研究生学位论文评阅工作由所属学院统一组织。</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3.学位论文评阅</w:t>
                        </w:r>
                        <w:r w:rsidRPr="00F61652">
                          <w:rPr>
                            <w:rFonts w:ascii="仿宋_GB2312" w:eastAsia="仿宋_GB2312" w:hAnsi="宋体" w:cs="宋体" w:hint="eastAsia"/>
                            <w:b/>
                            <w:bCs/>
                            <w:kern w:val="0"/>
                            <w:sz w:val="32"/>
                          </w:rPr>
                          <w:t>全部</w:t>
                        </w:r>
                        <w:r w:rsidRPr="00F61652">
                          <w:rPr>
                            <w:rFonts w:ascii="仿宋_GB2312" w:eastAsia="仿宋_GB2312" w:hAnsi="宋体" w:cs="宋体" w:hint="eastAsia"/>
                            <w:kern w:val="0"/>
                            <w:sz w:val="32"/>
                            <w:szCs w:val="32"/>
                            <w:bdr w:val="none" w:sz="0" w:space="0" w:color="auto" w:frame="1"/>
                          </w:rPr>
                          <w:t>采取双盲评阅方式，不公开送审单位和评阅专家，学位论文及评阅书的任何地方均</w:t>
                        </w:r>
                        <w:r w:rsidRPr="00F61652">
                          <w:rPr>
                            <w:rFonts w:ascii="仿宋_GB2312" w:eastAsia="仿宋_GB2312" w:hAnsi="宋体" w:cs="宋体" w:hint="eastAsia"/>
                            <w:b/>
                            <w:bCs/>
                            <w:kern w:val="0"/>
                            <w:sz w:val="32"/>
                          </w:rPr>
                          <w:t>不得出现作者和导师姓名。</w:t>
                        </w:r>
                      </w:p>
                      <w:p w:rsidR="00F61652" w:rsidRPr="00F61652" w:rsidRDefault="00F61652" w:rsidP="00F61652">
                        <w:pPr>
                          <w:widowControl/>
                          <w:spacing w:line="555"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4.根据《关于印发&lt;安徽医科大学学位授予实施细则&gt;（2015年修订）等四项制度的通知》（校学位字〔2015〕14号）和《关于印发&lt;安徽医科大学学位论文双盲评阅异议处理规定&gt;的通知》（校学位字〔2015〕13号），对评阅结果进行相应处理。此外，有下列情况者，应按要求认真修改：</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lastRenderedPageBreak/>
                          <w:t>当有1位评阅人认为所评阅硕士或博士论文为修改后答辩，申请人应按照评审意见在导师指导下认真修改论文，填写“安徽医科大学博士硕士学位论文修改说明表”（</w:t>
                        </w:r>
                        <w:r w:rsidRPr="00F61652">
                          <w:rPr>
                            <w:rFonts w:ascii="仿宋_GB2312" w:eastAsia="仿宋_GB2312" w:hAnsi="宋体" w:cs="宋体" w:hint="eastAsia"/>
                            <w:b/>
                            <w:bCs/>
                            <w:kern w:val="0"/>
                            <w:sz w:val="32"/>
                          </w:rPr>
                          <w:t>见附件六</w:t>
                        </w:r>
                        <w:r w:rsidRPr="00F61652">
                          <w:rPr>
                            <w:rFonts w:ascii="仿宋_GB2312" w:eastAsia="仿宋_GB2312" w:hAnsi="宋体" w:cs="宋体" w:hint="eastAsia"/>
                            <w:kern w:val="0"/>
                            <w:sz w:val="32"/>
                            <w:szCs w:val="32"/>
                            <w:bdr w:val="none" w:sz="0" w:space="0" w:color="auto" w:frame="1"/>
                          </w:rPr>
                          <w:t>），经导师签字同意后，方可申请答辩，并应在答辩时提交答辩委员会评议，最终编入培养手册末页。</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当所有评阅专家认为硕士或博士论文均为“同意答辩”，但提出了修改意见时，申请人应在导师指导下认真修改论文，填写“学位论文修改说明表”，经导师签字同意后，可视为通过申请答辩，并最终编入培养手册末页。</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b/>
                            <w:bCs/>
                            <w:kern w:val="0"/>
                            <w:sz w:val="32"/>
                          </w:rPr>
                          <w:t>三、学位论文答辩工作（工作程序第三步）</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1.统招研究生答辩相关材料（即完整的培养手册2014年9月版）务必在研究生学院网站-下载中心-培养栏目查询下载。</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2.请各学院、研究生导师、研究生认真做好学位论文答辩前的各项准备工作，协调好论文评阅与答辩所需的时间，抓紧每一个环节。本次论文答辩工作应于2018年5月中旬之前完成。</w:t>
                        </w:r>
                      </w:p>
                      <w:p w:rsidR="00F61652" w:rsidRPr="00F61652" w:rsidRDefault="00F61652" w:rsidP="00F61652">
                        <w:pPr>
                          <w:widowControl/>
                          <w:spacing w:line="600" w:lineRule="atLeast"/>
                          <w:ind w:firstLine="570"/>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3.各院系对口管理部门请填写“2018年上半年研究生学位论文答辩信息登记表”</w:t>
                        </w:r>
                        <w:r w:rsidRPr="00F61652">
                          <w:rPr>
                            <w:rFonts w:ascii="仿宋_GB2312" w:eastAsia="仿宋_GB2312" w:hAnsi="宋体" w:cs="宋体" w:hint="eastAsia"/>
                            <w:b/>
                            <w:bCs/>
                            <w:kern w:val="0"/>
                            <w:sz w:val="32"/>
                          </w:rPr>
                          <w:t>（见附件七）</w:t>
                        </w:r>
                        <w:r w:rsidRPr="00F61652">
                          <w:rPr>
                            <w:rFonts w:ascii="仿宋_GB2312" w:eastAsia="仿宋_GB2312" w:hAnsi="宋体" w:cs="宋体" w:hint="eastAsia"/>
                            <w:kern w:val="0"/>
                            <w:sz w:val="32"/>
                            <w:szCs w:val="32"/>
                            <w:bdr w:val="none" w:sz="0" w:space="0" w:color="auto" w:frame="1"/>
                          </w:rPr>
                          <w:t>，电子版发研究生学院培养办。本次论文答辩过程，将由“研究生培养督导委员会”全程抽查、监督，答辩时间和答辩地点一经确定后，不得再作调整。确需调整的，需提前7个工作日通知“研究生培养督导委员会办公室”，联系电话：65168424。</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4.学生需提交的各项材料（第1项所指）请完整、准确填写交本学院研究生管理部门；各学院审核汇总学生材料后按《关于做好2018年上半年学位授予工作的通知》（学位办发文后请查阅）时间要求</w:t>
                        </w:r>
                        <w:proofErr w:type="gramStart"/>
                        <w:r w:rsidRPr="00F61652">
                          <w:rPr>
                            <w:rFonts w:ascii="仿宋_GB2312" w:eastAsia="仿宋_GB2312" w:hAnsi="宋体" w:cs="宋体" w:hint="eastAsia"/>
                            <w:kern w:val="0"/>
                            <w:sz w:val="32"/>
                            <w:szCs w:val="32"/>
                            <w:bdr w:val="none" w:sz="0" w:space="0" w:color="auto" w:frame="1"/>
                          </w:rPr>
                          <w:t>按时交校学位</w:t>
                        </w:r>
                        <w:proofErr w:type="gramEnd"/>
                        <w:r w:rsidRPr="00F61652">
                          <w:rPr>
                            <w:rFonts w:ascii="仿宋_GB2312" w:eastAsia="仿宋_GB2312" w:hAnsi="宋体" w:cs="宋体" w:hint="eastAsia"/>
                            <w:kern w:val="0"/>
                            <w:sz w:val="32"/>
                            <w:szCs w:val="32"/>
                            <w:bdr w:val="none" w:sz="0" w:space="0" w:color="auto" w:frame="1"/>
                          </w:rPr>
                          <w:t>办公室（发展规划处学位办公室）。</w:t>
                        </w:r>
                      </w:p>
                      <w:p w:rsidR="00F61652" w:rsidRPr="00F61652" w:rsidRDefault="00F61652" w:rsidP="00F61652">
                        <w:pPr>
                          <w:widowControl/>
                          <w:spacing w:line="600" w:lineRule="atLeast"/>
                          <w:ind w:firstLine="645"/>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lastRenderedPageBreak/>
                          <w:t>5.</w:t>
                        </w:r>
                        <w:r w:rsidRPr="00F61652">
                          <w:rPr>
                            <w:rFonts w:ascii="仿宋_GB2312" w:eastAsia="仿宋_GB2312" w:hAnsi="宋体" w:cs="宋体" w:hint="eastAsia"/>
                            <w:b/>
                            <w:bCs/>
                            <w:kern w:val="0"/>
                            <w:sz w:val="32"/>
                          </w:rPr>
                          <w:t>上述学位论文质量监控工作实施办法、学位论文撰写要求和学位授予实施细则可在发展规划处网站-学位工作栏目查询，如有疑问请与校学位办公室联系，联系电话：0551-65165638</w:t>
                        </w:r>
                        <w:r w:rsidRPr="00F61652">
                          <w:rPr>
                            <w:rFonts w:ascii="仿宋_GB2312" w:eastAsia="仿宋_GB2312" w:hAnsi="宋体" w:cs="宋体" w:hint="eastAsia"/>
                            <w:kern w:val="0"/>
                            <w:sz w:val="32"/>
                            <w:szCs w:val="32"/>
                            <w:bdr w:val="none" w:sz="0" w:space="0" w:color="auto" w:frame="1"/>
                          </w:rPr>
                          <w:t>。</w:t>
                        </w:r>
                      </w:p>
                      <w:p w:rsidR="00F61652" w:rsidRPr="00F61652" w:rsidRDefault="00F61652" w:rsidP="00F61652">
                        <w:pPr>
                          <w:widowControl/>
                          <w:spacing w:line="600" w:lineRule="atLeast"/>
                          <w:ind w:firstLine="570"/>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特此通知。</w:t>
                        </w:r>
                      </w:p>
                      <w:p w:rsidR="00F61652" w:rsidRPr="00F61652" w:rsidRDefault="00F61652" w:rsidP="00F61652">
                        <w:pPr>
                          <w:widowControl/>
                          <w:spacing w:line="600" w:lineRule="atLeast"/>
                          <w:ind w:firstLine="570"/>
                          <w:jc w:val="left"/>
                          <w:rPr>
                            <w:rFonts w:ascii="宋体" w:eastAsia="宋体" w:hAnsi="宋体" w:cs="宋体"/>
                            <w:kern w:val="0"/>
                            <w:szCs w:val="21"/>
                          </w:rPr>
                        </w:pPr>
                        <w:r>
                          <w:rPr>
                            <w:rFonts w:ascii="仿宋_GB2312" w:eastAsia="仿宋_GB2312" w:hAnsi="宋体" w:cs="宋体"/>
                            <w:noProof/>
                            <w:kern w:val="0"/>
                            <w:sz w:val="32"/>
                            <w:szCs w:val="32"/>
                            <w:bdr w:val="none" w:sz="0" w:space="0" w:color="auto" w:frame="1"/>
                          </w:rPr>
                          <w:drawing>
                            <wp:inline distT="0" distB="0" distL="0" distR="0">
                              <wp:extent cx="152400" cy="152400"/>
                              <wp:effectExtent l="19050" t="0" r="0" b="0"/>
                              <wp:docPr id="1" name="图片 1" descr="http://yjsxy.ahmu.edu.cn/_ueditor/themes/default/images/icon_r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jsxy.ahmu.edu.cn/_ueditor/themes/default/images/icon_rar.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history="1">
                          <w:r w:rsidRPr="00F61652">
                            <w:rPr>
                              <w:rFonts w:ascii="宋体" w:eastAsia="宋体" w:hAnsi="宋体" w:cs="宋体" w:hint="eastAsia"/>
                              <w:color w:val="3E3E3E"/>
                              <w:kern w:val="0"/>
                              <w:sz w:val="18"/>
                              <w:u w:val="single"/>
                            </w:rPr>
                            <w:t>附件1-7.rar</w:t>
                          </w:r>
                        </w:hyperlink>
                      </w:p>
                      <w:p w:rsidR="00F61652" w:rsidRPr="00F61652" w:rsidRDefault="00F61652" w:rsidP="00915FCC">
                        <w:pPr>
                          <w:widowControl/>
                          <w:spacing w:line="600" w:lineRule="atLeast"/>
                          <w:ind w:firstLineChars="1328" w:firstLine="4250"/>
                          <w:jc w:val="left"/>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安徽医科大学研究生学院</w:t>
                        </w:r>
                      </w:p>
                      <w:p w:rsidR="00F61652" w:rsidRPr="00F61652" w:rsidRDefault="00F61652" w:rsidP="00F61652">
                        <w:pPr>
                          <w:widowControl/>
                          <w:spacing w:line="600" w:lineRule="atLeast"/>
                          <w:ind w:right="555"/>
                          <w:jc w:val="center"/>
                          <w:rPr>
                            <w:rFonts w:ascii="宋体" w:eastAsia="宋体" w:hAnsi="宋体" w:cs="宋体"/>
                            <w:kern w:val="0"/>
                            <w:szCs w:val="21"/>
                          </w:rPr>
                        </w:pPr>
                        <w:r w:rsidRPr="00F61652">
                          <w:rPr>
                            <w:rFonts w:ascii="仿宋_GB2312" w:eastAsia="仿宋_GB2312" w:hAnsi="宋体" w:cs="宋体" w:hint="eastAsia"/>
                            <w:kern w:val="0"/>
                            <w:sz w:val="32"/>
                            <w:szCs w:val="32"/>
                            <w:bdr w:val="none" w:sz="0" w:space="0" w:color="auto" w:frame="1"/>
                          </w:rPr>
                          <w:t>                             </w:t>
                        </w:r>
                        <w:r w:rsidRPr="00F61652">
                          <w:rPr>
                            <w:rFonts w:ascii="仿宋_GB2312" w:eastAsia="仿宋_GB2312" w:hAnsi="宋体" w:cs="宋体" w:hint="eastAsia"/>
                            <w:kern w:val="0"/>
                            <w:sz w:val="32"/>
                            <w:szCs w:val="32"/>
                            <w:bdr w:val="none" w:sz="0" w:space="0" w:color="auto" w:frame="1"/>
                          </w:rPr>
                          <w:t>2018年1月18日</w:t>
                        </w:r>
                      </w:p>
                    </w:tc>
                  </w:tr>
                </w:tbl>
                <w:p w:rsidR="00F61652" w:rsidRPr="00F61652" w:rsidRDefault="00F61652" w:rsidP="00F61652">
                  <w:pPr>
                    <w:widowControl/>
                    <w:jc w:val="center"/>
                    <w:rPr>
                      <w:rFonts w:ascii="宋体" w:eastAsia="宋体" w:hAnsi="宋体" w:cs="宋体"/>
                      <w:color w:val="111111"/>
                      <w:kern w:val="0"/>
                      <w:szCs w:val="21"/>
                    </w:rPr>
                  </w:pPr>
                  <w:r>
                    <w:rPr>
                      <w:rFonts w:ascii="宋体" w:eastAsia="宋体" w:hAnsi="宋体" w:cs="宋体" w:hint="eastAsia"/>
                      <w:color w:val="111111"/>
                      <w:kern w:val="0"/>
                      <w:szCs w:val="21"/>
                    </w:rPr>
                    <w:lastRenderedPageBreak/>
                    <w:t xml:space="preserve">  </w:t>
                  </w:r>
                </w:p>
              </w:tc>
            </w:tr>
          </w:tbl>
          <w:p w:rsidR="00F61652" w:rsidRPr="00F61652" w:rsidRDefault="00F61652" w:rsidP="00F61652">
            <w:pPr>
              <w:widowControl/>
              <w:jc w:val="left"/>
              <w:rPr>
                <w:rFonts w:ascii="微软雅黑" w:eastAsia="微软雅黑" w:hAnsi="微软雅黑" w:cs="宋体"/>
                <w:color w:val="333333"/>
                <w:kern w:val="0"/>
                <w:sz w:val="18"/>
                <w:szCs w:val="18"/>
              </w:rPr>
            </w:pPr>
          </w:p>
        </w:tc>
      </w:tr>
    </w:tbl>
    <w:p w:rsidR="00A33363" w:rsidRDefault="00A33363"/>
    <w:sectPr w:rsidR="00A33363" w:rsidSect="00F61652">
      <w:pgSz w:w="11906" w:h="16838"/>
      <w:pgMar w:top="1021" w:right="1077" w:bottom="1021"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F5" w:rsidRDefault="005F3DF5" w:rsidP="00F61652">
      <w:r>
        <w:separator/>
      </w:r>
    </w:p>
  </w:endnote>
  <w:endnote w:type="continuationSeparator" w:id="0">
    <w:p w:rsidR="005F3DF5" w:rsidRDefault="005F3DF5" w:rsidP="00F6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F5" w:rsidRDefault="005F3DF5" w:rsidP="00F61652">
      <w:r>
        <w:separator/>
      </w:r>
    </w:p>
  </w:footnote>
  <w:footnote w:type="continuationSeparator" w:id="0">
    <w:p w:rsidR="005F3DF5" w:rsidRDefault="005F3DF5" w:rsidP="00F61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1652"/>
    <w:rsid w:val="00315CC8"/>
    <w:rsid w:val="004B6BCF"/>
    <w:rsid w:val="005F3DF5"/>
    <w:rsid w:val="00915FCC"/>
    <w:rsid w:val="00A33363"/>
    <w:rsid w:val="00BB39FB"/>
    <w:rsid w:val="00F6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1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1652"/>
    <w:rPr>
      <w:sz w:val="18"/>
      <w:szCs w:val="18"/>
    </w:rPr>
  </w:style>
  <w:style w:type="paragraph" w:styleId="a4">
    <w:name w:val="footer"/>
    <w:basedOn w:val="a"/>
    <w:link w:val="Char0"/>
    <w:uiPriority w:val="99"/>
    <w:semiHidden/>
    <w:unhideWhenUsed/>
    <w:rsid w:val="00F616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1652"/>
    <w:rPr>
      <w:sz w:val="18"/>
      <w:szCs w:val="18"/>
    </w:rPr>
  </w:style>
  <w:style w:type="character" w:customStyle="1" w:styleId="articletitle">
    <w:name w:val="article_title"/>
    <w:basedOn w:val="a0"/>
    <w:rsid w:val="00F61652"/>
  </w:style>
  <w:style w:type="character" w:customStyle="1" w:styleId="style3">
    <w:name w:val="style3"/>
    <w:basedOn w:val="a0"/>
    <w:rsid w:val="00F61652"/>
  </w:style>
  <w:style w:type="character" w:customStyle="1" w:styleId="apple-converted-space">
    <w:name w:val="apple-converted-space"/>
    <w:basedOn w:val="a0"/>
    <w:rsid w:val="00F61652"/>
  </w:style>
  <w:style w:type="character" w:customStyle="1" w:styleId="articlepublishdate">
    <w:name w:val="article_publishdate"/>
    <w:basedOn w:val="a0"/>
    <w:rsid w:val="00F61652"/>
  </w:style>
  <w:style w:type="character" w:customStyle="1" w:styleId="wpvisitcount">
    <w:name w:val="wp_visitcount"/>
    <w:basedOn w:val="a0"/>
    <w:rsid w:val="00F61652"/>
  </w:style>
  <w:style w:type="paragraph" w:styleId="a5">
    <w:name w:val="Normal (Web)"/>
    <w:basedOn w:val="a"/>
    <w:uiPriority w:val="99"/>
    <w:unhideWhenUsed/>
    <w:rsid w:val="00F6165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61652"/>
    <w:rPr>
      <w:b/>
      <w:bCs/>
    </w:rPr>
  </w:style>
  <w:style w:type="character" w:styleId="a7">
    <w:name w:val="Hyperlink"/>
    <w:basedOn w:val="a0"/>
    <w:uiPriority w:val="99"/>
    <w:semiHidden/>
    <w:unhideWhenUsed/>
    <w:rsid w:val="00F61652"/>
    <w:rPr>
      <w:color w:val="0000FF"/>
      <w:u w:val="single"/>
    </w:rPr>
  </w:style>
  <w:style w:type="paragraph" w:styleId="a8">
    <w:name w:val="Balloon Text"/>
    <w:basedOn w:val="a"/>
    <w:link w:val="Char1"/>
    <w:uiPriority w:val="99"/>
    <w:semiHidden/>
    <w:unhideWhenUsed/>
    <w:rsid w:val="00F61652"/>
    <w:rPr>
      <w:sz w:val="18"/>
      <w:szCs w:val="18"/>
    </w:rPr>
  </w:style>
  <w:style w:type="character" w:customStyle="1" w:styleId="Char1">
    <w:name w:val="批注框文本 Char"/>
    <w:basedOn w:val="a0"/>
    <w:link w:val="a8"/>
    <w:uiPriority w:val="99"/>
    <w:semiHidden/>
    <w:rsid w:val="00F616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62704">
      <w:bodyDiv w:val="1"/>
      <w:marLeft w:val="0"/>
      <w:marRight w:val="0"/>
      <w:marTop w:val="0"/>
      <w:marBottom w:val="0"/>
      <w:divBdr>
        <w:top w:val="none" w:sz="0" w:space="0" w:color="auto"/>
        <w:left w:val="none" w:sz="0" w:space="0" w:color="auto"/>
        <w:bottom w:val="none" w:sz="0" w:space="0" w:color="auto"/>
        <w:right w:val="none" w:sz="0" w:space="0" w:color="auto"/>
      </w:divBdr>
      <w:divsChild>
        <w:div w:id="1578051434">
          <w:marLeft w:val="0"/>
          <w:marRight w:val="0"/>
          <w:marTop w:val="0"/>
          <w:marBottom w:val="0"/>
          <w:divBdr>
            <w:top w:val="none" w:sz="0" w:space="0" w:color="auto"/>
            <w:left w:val="none" w:sz="0" w:space="0" w:color="auto"/>
            <w:bottom w:val="none" w:sz="0" w:space="0" w:color="auto"/>
            <w:right w:val="none" w:sz="0" w:space="0" w:color="auto"/>
          </w:divBdr>
          <w:divsChild>
            <w:div w:id="1457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jsxy.ahmu.edu.cn/_upload/article/files/3e/31/31deb9b748418a2841f73b2be874/0e66945b-5ea4-4e91-a158-2b39e2c532f9.rar"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343</Words>
  <Characters>1959</Characters>
  <Application>Microsoft Office Word</Application>
  <DocSecurity>0</DocSecurity>
  <Lines>16</Lines>
  <Paragraphs>4</Paragraphs>
  <ScaleCrop>false</ScaleCrop>
  <Company>China</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叶韧</dc:creator>
  <cp:keywords/>
  <dc:description/>
  <cp:lastModifiedBy>ayfy</cp:lastModifiedBy>
  <cp:revision>6</cp:revision>
  <dcterms:created xsi:type="dcterms:W3CDTF">2018-01-22T07:54:00Z</dcterms:created>
  <dcterms:modified xsi:type="dcterms:W3CDTF">2018-01-23T00:52:00Z</dcterms:modified>
</cp:coreProperties>
</file>