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79DD" w14:textId="08C57D3A" w:rsidR="00E31B50" w:rsidRDefault="00000000">
      <w:pPr>
        <w:ind w:firstLineChars="0" w:firstLine="0"/>
        <w:jc w:val="center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 w:hint="eastAsia"/>
          <w:b/>
          <w:sz w:val="36"/>
        </w:rPr>
        <w:t>20</w:t>
      </w:r>
      <w:r w:rsidR="00083923">
        <w:rPr>
          <w:rFonts w:ascii="华文仿宋" w:eastAsia="华文仿宋" w:hAnsi="华文仿宋"/>
          <w:b/>
          <w:sz w:val="36"/>
        </w:rPr>
        <w:t>23</w:t>
      </w:r>
      <w:r>
        <w:rPr>
          <w:rFonts w:ascii="华文仿宋" w:eastAsia="华文仿宋" w:hAnsi="华文仿宋" w:hint="eastAsia"/>
          <w:b/>
          <w:sz w:val="36"/>
        </w:rPr>
        <w:t>年度国家科学技术奖拟</w:t>
      </w:r>
      <w:r>
        <w:rPr>
          <w:rFonts w:ascii="华文仿宋" w:eastAsia="华文仿宋" w:hAnsi="华文仿宋"/>
          <w:b/>
          <w:sz w:val="36"/>
        </w:rPr>
        <w:t>提名</w:t>
      </w:r>
      <w:r>
        <w:rPr>
          <w:rFonts w:ascii="华文仿宋" w:eastAsia="华文仿宋" w:hAnsi="华文仿宋" w:hint="eastAsia"/>
          <w:b/>
          <w:sz w:val="36"/>
        </w:rPr>
        <w:t>项目</w:t>
      </w:r>
      <w:r>
        <w:rPr>
          <w:rFonts w:ascii="华文仿宋" w:eastAsia="华文仿宋" w:hAnsi="华文仿宋"/>
          <w:b/>
          <w:sz w:val="36"/>
        </w:rPr>
        <w:t>公示</w:t>
      </w:r>
    </w:p>
    <w:p w14:paraId="5B451835" w14:textId="77777777" w:rsidR="00E31B50" w:rsidRDefault="00E31B50">
      <w:pPr>
        <w:ind w:firstLineChars="0" w:firstLine="0"/>
        <w:rPr>
          <w:rFonts w:ascii="华文仿宋" w:eastAsia="华文仿宋" w:hAnsi="华文仿宋"/>
          <w:sz w:val="32"/>
        </w:rPr>
      </w:pPr>
    </w:p>
    <w:p w14:paraId="65542EE7" w14:textId="21B2E628" w:rsidR="00BC3B1D" w:rsidRDefault="00000000">
      <w:pPr>
        <w:ind w:firstLineChars="0" w:firstLine="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b/>
          <w:sz w:val="32"/>
        </w:rPr>
        <w:t>1、项目名称：</w:t>
      </w:r>
      <w:r w:rsidR="00BC3B1D" w:rsidRPr="00BC3B1D">
        <w:rPr>
          <w:rFonts w:ascii="华文仿宋" w:eastAsia="华文仿宋" w:hAnsi="华文仿宋"/>
          <w:sz w:val="32"/>
        </w:rPr>
        <w:t>基于重大皮肤疾病代谢特征的</w:t>
      </w:r>
      <w:r w:rsidR="00BC3B1D" w:rsidRPr="00BC3B1D">
        <w:rPr>
          <w:rFonts w:ascii="华文仿宋" w:eastAsia="华文仿宋" w:hAnsi="华文仿宋" w:hint="eastAsia"/>
          <w:sz w:val="32"/>
        </w:rPr>
        <w:t>防</w:t>
      </w:r>
      <w:r w:rsidR="000C6381">
        <w:rPr>
          <w:rFonts w:ascii="华文仿宋" w:eastAsia="华文仿宋" w:hAnsi="华文仿宋" w:hint="eastAsia"/>
          <w:sz w:val="32"/>
        </w:rPr>
        <w:t>-</w:t>
      </w:r>
      <w:r w:rsidR="00BC3B1D" w:rsidRPr="00BC3B1D">
        <w:rPr>
          <w:rFonts w:ascii="华文仿宋" w:eastAsia="华文仿宋" w:hAnsi="华文仿宋"/>
          <w:sz w:val="32"/>
        </w:rPr>
        <w:t>诊</w:t>
      </w:r>
      <w:r w:rsidR="00BC3B1D" w:rsidRPr="00BC3B1D">
        <w:rPr>
          <w:rFonts w:ascii="华文仿宋" w:eastAsia="华文仿宋" w:hAnsi="华文仿宋" w:hint="eastAsia"/>
          <w:sz w:val="32"/>
        </w:rPr>
        <w:t>-治技术创新及推广应用</w:t>
      </w:r>
    </w:p>
    <w:p w14:paraId="1D10F1E0" w14:textId="20047048" w:rsidR="00E31B50" w:rsidRDefault="00000000">
      <w:pPr>
        <w:ind w:firstLineChars="0" w:firstLine="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b/>
          <w:sz w:val="32"/>
        </w:rPr>
        <w:t>2、提名单位：</w:t>
      </w:r>
      <w:r w:rsidR="00717BED">
        <w:rPr>
          <w:rFonts w:ascii="华文仿宋" w:eastAsia="华文仿宋" w:hAnsi="华文仿宋" w:hint="eastAsia"/>
          <w:sz w:val="32"/>
        </w:rPr>
        <w:t>湖南省</w:t>
      </w:r>
    </w:p>
    <w:p w14:paraId="2E1BD599" w14:textId="77777777" w:rsidR="00E31B50" w:rsidRDefault="00000000">
      <w:pPr>
        <w:ind w:firstLineChars="0" w:firstLine="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b/>
          <w:sz w:val="32"/>
        </w:rPr>
        <w:t>3、提名等级：</w:t>
      </w:r>
      <w:r>
        <w:rPr>
          <w:rFonts w:ascii="华文仿宋" w:eastAsia="华文仿宋" w:hAnsi="华文仿宋" w:hint="eastAsia"/>
          <w:sz w:val="32"/>
        </w:rPr>
        <w:t>国家科技进步奖二等奖</w:t>
      </w:r>
    </w:p>
    <w:p w14:paraId="7CDE2366" w14:textId="77777777" w:rsidR="00E31B50" w:rsidRDefault="00000000">
      <w:pPr>
        <w:ind w:firstLineChars="0" w:firstLine="0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/>
          <w:b/>
          <w:sz w:val="32"/>
        </w:rPr>
        <w:t>4</w:t>
      </w:r>
      <w:r>
        <w:rPr>
          <w:rFonts w:ascii="华文仿宋" w:eastAsia="华文仿宋" w:hAnsi="华文仿宋" w:hint="eastAsia"/>
          <w:b/>
          <w:sz w:val="32"/>
        </w:rPr>
        <w:t>、主要完成单位</w:t>
      </w:r>
    </w:p>
    <w:p w14:paraId="53824C24" w14:textId="1A57A823" w:rsidR="0007050A" w:rsidRPr="002A76A2" w:rsidRDefault="00000000">
      <w:pPr>
        <w:ind w:firstLineChars="0" w:firstLine="0"/>
        <w:rPr>
          <w:rFonts w:ascii="华文仿宋" w:eastAsia="华文仿宋" w:hAnsi="华文仿宋"/>
          <w:sz w:val="32"/>
        </w:rPr>
      </w:pPr>
      <w:r w:rsidRPr="0015416B">
        <w:rPr>
          <w:rFonts w:ascii="华文仿宋" w:eastAsia="华文仿宋" w:hAnsi="华文仿宋" w:hint="eastAsia"/>
          <w:sz w:val="32"/>
        </w:rPr>
        <w:t>中南大学</w:t>
      </w:r>
      <w:r w:rsidR="00BC3B1D">
        <w:rPr>
          <w:rFonts w:ascii="华文仿宋" w:eastAsia="华文仿宋" w:hAnsi="华文仿宋" w:hint="eastAsia"/>
          <w:sz w:val="32"/>
        </w:rPr>
        <w:t>湘雅医院</w:t>
      </w:r>
      <w:r w:rsidR="004731E5" w:rsidRPr="0015416B">
        <w:rPr>
          <w:rFonts w:ascii="华文仿宋" w:eastAsia="华文仿宋" w:hAnsi="华文仿宋" w:hint="eastAsia"/>
          <w:sz w:val="32"/>
        </w:rPr>
        <w:t>，</w:t>
      </w:r>
      <w:r w:rsidR="00BC3B1D">
        <w:rPr>
          <w:rFonts w:ascii="华文仿宋" w:eastAsia="华文仿宋" w:hAnsi="华文仿宋" w:hint="eastAsia"/>
          <w:sz w:val="32"/>
        </w:rPr>
        <w:t>中南大学，</w:t>
      </w:r>
      <w:r w:rsidR="004731E5" w:rsidRPr="0015416B">
        <w:rPr>
          <w:rFonts w:ascii="华文仿宋" w:eastAsia="华文仿宋" w:hAnsi="华文仿宋"/>
          <w:sz w:val="32"/>
        </w:rPr>
        <w:t>安徽医科大学</w:t>
      </w:r>
      <w:r w:rsidR="004F116F" w:rsidRPr="00BC3B1D">
        <w:rPr>
          <w:rFonts w:ascii="华文仿宋" w:eastAsia="华文仿宋" w:hAnsi="华文仿宋" w:hint="eastAsia"/>
          <w:sz w:val="32"/>
        </w:rPr>
        <w:t>第一附属医院</w:t>
      </w:r>
      <w:r w:rsidR="004731E5" w:rsidRPr="0015416B">
        <w:rPr>
          <w:rFonts w:ascii="华文仿宋" w:eastAsia="华文仿宋" w:hAnsi="华文仿宋" w:hint="eastAsia"/>
          <w:sz w:val="32"/>
        </w:rPr>
        <w:t>，华中科技大学</w:t>
      </w:r>
      <w:r w:rsidR="004F116F" w:rsidRPr="00BC3B1D">
        <w:rPr>
          <w:rFonts w:ascii="华文仿宋" w:eastAsia="华文仿宋" w:hAnsi="华文仿宋"/>
          <w:sz w:val="32"/>
        </w:rPr>
        <w:t>同济医学院附属协和医院</w:t>
      </w:r>
      <w:r w:rsidR="004731E5" w:rsidRPr="0015416B">
        <w:rPr>
          <w:rFonts w:ascii="华文仿宋" w:eastAsia="华文仿宋" w:hAnsi="华文仿宋" w:hint="eastAsia"/>
          <w:sz w:val="32"/>
        </w:rPr>
        <w:t>，</w:t>
      </w:r>
      <w:r w:rsidR="00B0667F" w:rsidRPr="00B0667F">
        <w:rPr>
          <w:rFonts w:ascii="华文仿宋" w:eastAsia="华文仿宋" w:hAnsi="华文仿宋" w:hint="eastAsia"/>
          <w:sz w:val="32"/>
        </w:rPr>
        <w:t>上海市皮肤病医院</w:t>
      </w:r>
      <w:r w:rsidR="00BA3023">
        <w:rPr>
          <w:rFonts w:ascii="华文仿宋" w:eastAsia="华文仿宋" w:hAnsi="华文仿宋" w:hint="eastAsia"/>
          <w:sz w:val="32"/>
        </w:rPr>
        <w:t>，</w:t>
      </w:r>
      <w:r w:rsidR="00C05B05" w:rsidRPr="00C05B05">
        <w:rPr>
          <w:rFonts w:ascii="华文仿宋" w:eastAsia="华文仿宋" w:hAnsi="华文仿宋"/>
          <w:sz w:val="32"/>
        </w:rPr>
        <w:t>华北理工大学</w:t>
      </w:r>
      <w:r w:rsidR="00C05B05" w:rsidRPr="00C05B05">
        <w:rPr>
          <w:rFonts w:ascii="华文仿宋" w:eastAsia="华文仿宋" w:hAnsi="华文仿宋" w:hint="eastAsia"/>
          <w:sz w:val="32"/>
        </w:rPr>
        <w:t>，</w:t>
      </w:r>
      <w:r w:rsidR="00BA3023" w:rsidRPr="002A76A2">
        <w:rPr>
          <w:rFonts w:ascii="华文仿宋" w:eastAsia="华文仿宋" w:hAnsi="华文仿宋" w:hint="eastAsia"/>
          <w:sz w:val="32"/>
        </w:rPr>
        <w:t>湖南冰溪生物科技有限公司</w:t>
      </w:r>
    </w:p>
    <w:p w14:paraId="528FAAB1" w14:textId="4D2D076A" w:rsidR="00E31B50" w:rsidRDefault="00000000">
      <w:pPr>
        <w:ind w:firstLineChars="0" w:firstLine="0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/>
          <w:b/>
          <w:sz w:val="32"/>
        </w:rPr>
        <w:t>5</w:t>
      </w:r>
      <w:r>
        <w:rPr>
          <w:rFonts w:ascii="华文仿宋" w:eastAsia="华文仿宋" w:hAnsi="华文仿宋" w:hint="eastAsia"/>
          <w:b/>
          <w:sz w:val="32"/>
        </w:rPr>
        <w:t>、主要完成人</w:t>
      </w:r>
    </w:p>
    <w:p w14:paraId="5F408931" w14:textId="225E1E62" w:rsidR="00D00BBC" w:rsidRPr="00D00BBC" w:rsidRDefault="00D00BBC">
      <w:pPr>
        <w:ind w:firstLineChars="0" w:firstLine="0"/>
        <w:rPr>
          <w:rFonts w:ascii="华文仿宋" w:eastAsia="华文仿宋" w:hAnsi="华文仿宋"/>
          <w:sz w:val="32"/>
        </w:rPr>
      </w:pPr>
      <w:r w:rsidRPr="0015416B">
        <w:rPr>
          <w:rFonts w:ascii="华文仿宋" w:eastAsia="华文仿宋" w:hAnsi="华文仿宋" w:hint="eastAsia"/>
          <w:sz w:val="32"/>
        </w:rPr>
        <w:t>陈翔</w:t>
      </w:r>
      <w:r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孙良丹</w:t>
      </w:r>
      <w:r>
        <w:rPr>
          <w:rFonts w:ascii="华文仿宋" w:eastAsia="华文仿宋" w:hAnsi="华文仿宋" w:hint="eastAsia"/>
          <w:sz w:val="32"/>
        </w:rPr>
        <w:t>，</w:t>
      </w:r>
      <w:r w:rsidR="003F2EB7" w:rsidRPr="0015416B">
        <w:rPr>
          <w:rFonts w:ascii="华文仿宋" w:eastAsia="华文仿宋" w:hAnsi="华文仿宋" w:hint="eastAsia"/>
          <w:sz w:val="32"/>
        </w:rPr>
        <w:t>彭聪</w:t>
      </w:r>
      <w:r w:rsidR="003F2EB7"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陶娟</w:t>
      </w:r>
      <w:r>
        <w:rPr>
          <w:rFonts w:ascii="华文仿宋" w:eastAsia="华文仿宋" w:hAnsi="华文仿宋" w:hint="eastAsia"/>
          <w:sz w:val="32"/>
        </w:rPr>
        <w:t>，</w:t>
      </w:r>
      <w:r w:rsidR="003F2EB7" w:rsidRPr="0015416B">
        <w:rPr>
          <w:rFonts w:ascii="华文仿宋" w:eastAsia="华文仿宋" w:hAnsi="华文仿宋" w:hint="eastAsia"/>
          <w:sz w:val="32"/>
        </w:rPr>
        <w:t>刘洪</w:t>
      </w:r>
      <w:r w:rsidR="003F2EB7"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李吉</w:t>
      </w:r>
      <w:r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史玉玲</w:t>
      </w:r>
      <w:r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印明柱</w:t>
      </w:r>
      <w:r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曹东升</w:t>
      </w:r>
      <w:r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张学军</w:t>
      </w:r>
    </w:p>
    <w:p w14:paraId="74346E05" w14:textId="77777777" w:rsidR="00E31B50" w:rsidRDefault="00000000">
      <w:pPr>
        <w:ind w:firstLineChars="0" w:firstLine="0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/>
          <w:b/>
          <w:sz w:val="32"/>
        </w:rPr>
        <w:t>6</w:t>
      </w:r>
      <w:r>
        <w:rPr>
          <w:rFonts w:ascii="华文仿宋" w:eastAsia="华文仿宋" w:hAnsi="华文仿宋" w:hint="eastAsia"/>
          <w:b/>
          <w:sz w:val="32"/>
        </w:rPr>
        <w:t>、主要知识产权和标准规范等目录</w:t>
      </w:r>
    </w:p>
    <w:tbl>
      <w:tblPr>
        <w:tblW w:w="90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812"/>
        <w:gridCol w:w="850"/>
        <w:gridCol w:w="851"/>
        <w:gridCol w:w="992"/>
        <w:gridCol w:w="1276"/>
        <w:gridCol w:w="1276"/>
        <w:gridCol w:w="895"/>
      </w:tblGrid>
      <w:tr w:rsidR="00E32F53" w:rsidRPr="00E32F53" w14:paraId="0EDD4660" w14:textId="77777777" w:rsidTr="00691B04">
        <w:trPr>
          <w:trHeight w:val="1120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BEF342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05" w:line="285" w:lineRule="auto"/>
              <w:ind w:left="213" w:right="54" w:firstLineChars="0" w:hanging="141"/>
              <w:rPr>
                <w:rFonts w:ascii="宋体" w:cs="宋体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知识产权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标准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  <w:r w:rsidRPr="00E32F53">
              <w:rPr>
                <w:rFonts w:cs="Times New Roman"/>
                <w:spacing w:val="1"/>
                <w:kern w:val="0"/>
                <w:sz w:val="21"/>
                <w:szCs w:val="21"/>
              </w:rPr>
              <w:t xml:space="preserve"> 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0172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05" w:line="240" w:lineRule="auto"/>
              <w:ind w:left="102" w:right="84" w:firstLineChars="0" w:firstLine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知识产权</w:t>
            </w:r>
          </w:p>
          <w:p w14:paraId="154F3D6C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51" w:line="240" w:lineRule="auto"/>
              <w:ind w:left="102" w:right="84"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E32F53">
              <w:rPr>
                <w:rFonts w:eastAsia="等线" w:cs="Times New Roman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标准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</w:p>
          <w:p w14:paraId="1BF404E5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50" w:line="240" w:lineRule="auto"/>
              <w:ind w:left="102" w:right="84" w:firstLineChars="0" w:firstLine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具体名称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828E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ind w:firstLineChars="0" w:firstLine="0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0CD978BA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ind w:left="226" w:firstLineChars="0" w:firstLine="0"/>
              <w:rPr>
                <w:rFonts w:ascii="宋体" w:cs="宋体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国家</w:t>
            </w:r>
          </w:p>
          <w:p w14:paraId="0DF923DB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51" w:line="240" w:lineRule="auto"/>
              <w:ind w:left="157" w:firstLineChars="0" w:firstLine="0"/>
              <w:rPr>
                <w:rFonts w:cs="Times New Roman"/>
                <w:kern w:val="0"/>
                <w:sz w:val="21"/>
                <w:szCs w:val="21"/>
              </w:rPr>
            </w:pPr>
            <w:r w:rsidRPr="00E32F53">
              <w:rPr>
                <w:rFonts w:eastAsia="等线" w:cs="Times New Roman"/>
                <w:spacing w:val="-1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地区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4973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ind w:firstLineChars="0" w:firstLine="0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42CB7FCB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ind w:left="67" w:right="49" w:firstLineChars="0" w:firstLine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授权号</w:t>
            </w:r>
          </w:p>
          <w:p w14:paraId="13F25F5F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51" w:line="240" w:lineRule="auto"/>
              <w:ind w:left="68" w:right="49"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E32F53">
              <w:rPr>
                <w:rFonts w:eastAsia="等线" w:cs="Times New Roman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标准编号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8412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ind w:firstLineChars="0" w:firstLine="0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70748818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" w:line="285" w:lineRule="auto"/>
              <w:ind w:left="47" w:right="24" w:firstLineChars="0" w:firstLine="0"/>
              <w:rPr>
                <w:rFonts w:ascii="宋体" w:cs="宋体"/>
                <w:spacing w:val="-1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授权</w:t>
            </w:r>
            <w:r w:rsidRPr="00E32F53">
              <w:rPr>
                <w:rFonts w:cs="Times New Roman"/>
                <w:spacing w:val="-1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标准发布</w:t>
            </w:r>
            <w:r w:rsidRPr="00E32F53">
              <w:rPr>
                <w:rFonts w:cs="Times New Roman"/>
                <w:spacing w:val="-1"/>
                <w:kern w:val="0"/>
                <w:sz w:val="21"/>
                <w:szCs w:val="21"/>
              </w:rPr>
              <w:t>)</w:t>
            </w: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ED97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05" w:line="285" w:lineRule="auto"/>
              <w:ind w:left="106" w:right="83" w:firstLineChars="0" w:firstLine="34"/>
              <w:jc w:val="both"/>
              <w:rPr>
                <w:rFonts w:cs="Times New Roman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证书编号</w:t>
            </w:r>
            <w:r w:rsidRPr="00E32F53">
              <w:rPr>
                <w:rFonts w:cs="Times New Roman"/>
                <w:spacing w:val="-1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标准批准发布部门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90D9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05" w:line="285" w:lineRule="auto"/>
              <w:ind w:left="84" w:right="58" w:firstLineChars="0" w:firstLine="34"/>
              <w:jc w:val="both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权利人</w:t>
            </w:r>
            <w:r w:rsidRPr="00E32F53">
              <w:rPr>
                <w:rFonts w:cs="Times New Roman"/>
                <w:spacing w:val="-1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标准起草单位</w:t>
            </w:r>
            <w:r w:rsidRPr="00E32F53">
              <w:rPr>
                <w:rFonts w:cs="Times New Roman"/>
                <w:spacing w:val="-1"/>
                <w:kern w:val="0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AA40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05" w:line="285" w:lineRule="auto"/>
              <w:ind w:left="107" w:right="82" w:firstLineChars="0" w:firstLine="34"/>
              <w:jc w:val="both"/>
              <w:rPr>
                <w:rFonts w:cs="Times New Roman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发明人</w:t>
            </w:r>
            <w:r w:rsidRPr="00E32F53">
              <w:rPr>
                <w:rFonts w:cs="Times New Roman"/>
                <w:spacing w:val="-1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标准起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草人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B535C9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05" w:line="285" w:lineRule="auto"/>
              <w:ind w:left="75" w:right="14" w:firstLineChars="0" w:hanging="35"/>
              <w:jc w:val="both"/>
              <w:rPr>
                <w:rFonts w:ascii="宋体" w:cs="宋体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发明专利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标准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有效状态</w:t>
            </w:r>
          </w:p>
        </w:tc>
      </w:tr>
      <w:tr w:rsidR="001346A0" w:rsidRPr="00E32F53" w14:paraId="43A4D840" w14:textId="77777777" w:rsidTr="00691B04">
        <w:trPr>
          <w:trHeight w:val="8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88FF" w14:textId="735AE24B" w:rsidR="001346A0" w:rsidRPr="00E32F53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7A59" w14:textId="55E6212E" w:rsidR="001346A0" w:rsidRPr="00E32F53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ADORA1 Inhibition Promotes Tumor Immune Evasion by Regulating the ATF3-PD-L1 Axis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8EC3" w14:textId="5777B76B" w:rsidR="001346A0" w:rsidRPr="00F579A9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8DEE" w14:textId="57F54DA6" w:rsidR="001346A0" w:rsidRPr="00F579A9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DOI:10.1016/j.ccell.2020.02.006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BB0E" w14:textId="2E599E2A" w:rsidR="001346A0" w:rsidRPr="00F579A9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2020</w:t>
            </w:r>
            <w:r>
              <w:rPr>
                <w:rFonts w:cs="Times New Roman"/>
                <w:spacing w:val="-1"/>
                <w:sz w:val="21"/>
                <w:szCs w:val="21"/>
              </w:rPr>
              <w:t>年</w:t>
            </w:r>
            <w:r>
              <w:rPr>
                <w:rFonts w:cs="Times New Roman"/>
                <w:spacing w:val="-1"/>
                <w:sz w:val="21"/>
                <w:szCs w:val="21"/>
              </w:rPr>
              <w:t>3</w:t>
            </w:r>
            <w:r>
              <w:rPr>
                <w:rFonts w:cs="Times New Roman"/>
                <w:spacing w:val="-1"/>
                <w:sz w:val="21"/>
                <w:szCs w:val="21"/>
              </w:rPr>
              <w:t>月</w:t>
            </w:r>
            <w:r>
              <w:rPr>
                <w:rFonts w:cs="Times New Roman"/>
                <w:spacing w:val="-1"/>
                <w:sz w:val="21"/>
                <w:szCs w:val="21"/>
              </w:rPr>
              <w:t>16</w:t>
            </w:r>
            <w:r>
              <w:rPr>
                <w:rFonts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887" w14:textId="38CB0CA7" w:rsidR="001346A0" w:rsidRPr="005B6F63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Cancer Cell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9E9C" w14:textId="0706FFF5" w:rsidR="001346A0" w:rsidRPr="00E32F53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AD7796">
              <w:rPr>
                <w:rFonts w:cs="Times New Roman" w:hint="eastAsia"/>
                <w:spacing w:val="-1"/>
                <w:sz w:val="21"/>
                <w:szCs w:val="21"/>
              </w:rPr>
              <w:t>中南大学湘雅医院，皮肤肿瘤与银屑病湖南省重点实验室，皮肤健康与疾病湖南省工程研究中心，湖南省肿瘤医院，上海交通大学，德克萨斯大学休斯顿健康科学中心，华嘉生物</w:t>
            </w:r>
            <w:r w:rsidRPr="00AD7796">
              <w:rPr>
                <w:rFonts w:cs="Times New Roman" w:hint="eastAsia"/>
                <w:spacing w:val="-1"/>
                <w:sz w:val="21"/>
                <w:szCs w:val="21"/>
              </w:rPr>
              <w:lastRenderedPageBreak/>
              <w:t>智能科技有限公司，中南大学，湖南大学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BB87" w14:textId="44085CE7" w:rsidR="001346A0" w:rsidRPr="00E32F53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 w:hint="eastAsia"/>
                <w:spacing w:val="-1"/>
                <w:sz w:val="21"/>
                <w:szCs w:val="21"/>
              </w:rPr>
              <w:lastRenderedPageBreak/>
              <w:t>刘洪，匡欣薇，张永昌，叶幼琼，李嘉璐，梁龙，谢祚仲，翁良，郭佳，荔辉，马方宇，陈筱丹，赵爽，粟娟，杨农，方方，谢阳，陶娟，张江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林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, 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陈明亮，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彭聪，孙仑泉，张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lastRenderedPageBreak/>
              <w:t>欣，刘静，韩冷，徐小威，洪明奇，陈翔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0DD4AE" w14:textId="4399839C" w:rsidR="001346A0" w:rsidRPr="00E32F53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lastRenderedPageBreak/>
              <w:t>其他有效的知识产权</w:t>
            </w:r>
          </w:p>
        </w:tc>
      </w:tr>
      <w:tr w:rsidR="001346A0" w:rsidRPr="00E32F53" w14:paraId="14D145E8" w14:textId="77777777" w:rsidTr="00691B04">
        <w:trPr>
          <w:trHeight w:val="893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AE8B" w14:textId="38BEBA6E" w:rsidR="001346A0" w:rsidRPr="004615A4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cs="宋体"/>
                <w:spacing w:val="-1"/>
                <w:kern w:val="0"/>
                <w:sz w:val="21"/>
                <w:szCs w:val="21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指南共识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F952" w14:textId="17D42C4E" w:rsidR="001346A0" w:rsidRPr="00C1138F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中国银屑病诊疗指南（</w:t>
            </w:r>
            <w:r>
              <w:rPr>
                <w:rFonts w:cs="Times New Roman"/>
                <w:spacing w:val="-1"/>
                <w:sz w:val="21"/>
                <w:szCs w:val="21"/>
              </w:rPr>
              <w:t>2018</w:t>
            </w:r>
            <w:r>
              <w:rPr>
                <w:rFonts w:cs="Times New Roman"/>
                <w:spacing w:val="-1"/>
                <w:sz w:val="21"/>
                <w:szCs w:val="21"/>
              </w:rPr>
              <w:t>完整版）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64B4" w14:textId="43FF8FDE" w:rsidR="001346A0" w:rsidRPr="00F579A9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23C8" w14:textId="137AC680" w:rsidR="001346A0" w:rsidRPr="00761441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DOI: 10.35541/cjd.20190847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9A0E" w14:textId="5C7B2793" w:rsidR="001346A0" w:rsidRPr="00F579A9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2019</w:t>
            </w:r>
            <w:r>
              <w:rPr>
                <w:rFonts w:cs="Times New Roman"/>
                <w:spacing w:val="-1"/>
                <w:sz w:val="21"/>
                <w:szCs w:val="21"/>
              </w:rPr>
              <w:t>年</w:t>
            </w:r>
            <w:r>
              <w:rPr>
                <w:rFonts w:cs="Times New Roman"/>
                <w:spacing w:val="-1"/>
                <w:sz w:val="21"/>
                <w:szCs w:val="21"/>
              </w:rPr>
              <w:t>10</w:t>
            </w:r>
            <w:r>
              <w:rPr>
                <w:rFonts w:cs="Times New Roman"/>
                <w:spacing w:val="-1"/>
                <w:sz w:val="21"/>
                <w:szCs w:val="21"/>
              </w:rPr>
              <w:t>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E23A" w14:textId="4833DAB5" w:rsidR="001346A0" w:rsidRPr="005B6F63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中华皮肤科杂志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AE6D" w14:textId="092716C9" w:rsidR="001346A0" w:rsidRPr="00DE7DDD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中华医学会皮肤性病学分会银屑病专业委员会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5FE5" w14:textId="4C97097A" w:rsidR="001346A0" w:rsidRPr="00C1138F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 w:hint="eastAsia"/>
                <w:spacing w:val="-1"/>
                <w:sz w:val="21"/>
                <w:szCs w:val="21"/>
              </w:rPr>
              <w:t>张学军，郑捷，杨志波，郑敏，顾军，陈翔，崔勇，范卫新，顾恒，晋红中，李斌，栗玉珍，刘红霞，刘巧，卢传坚，吕成志，马慧群，史玉玲，王刚，徐金华，张安平，张春雷，张福仁，张建中，张锡宝，周冬梅，张锡宝，张三泉，李欣，张耀华，杨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0F94ED" w14:textId="706CD8C5" w:rsidR="001346A0" w:rsidRPr="00A40436" w:rsidRDefault="001346A0" w:rsidP="001346A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其他有效的知识产权</w:t>
            </w:r>
          </w:p>
        </w:tc>
      </w:tr>
      <w:tr w:rsidR="001F2271" w:rsidRPr="00E32F53" w14:paraId="413FFF91" w14:textId="77777777" w:rsidTr="00691B04">
        <w:trPr>
          <w:trHeight w:val="893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FA89" w14:textId="30C2B5A1" w:rsidR="001F2271" w:rsidRPr="004615A4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cs="宋体"/>
                <w:spacing w:val="-1"/>
                <w:kern w:val="0"/>
                <w:sz w:val="21"/>
                <w:szCs w:val="21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0C46" w14:textId="3562D2B6" w:rsidR="001F2271" w:rsidRPr="00C1138F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Deep sequencing of the MHC region in the Chinese population contributes to studies of complex disease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9D3C" w14:textId="7A3676BA" w:rsidR="001F2271" w:rsidRPr="00F579A9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15C2" w14:textId="3B29C744" w:rsidR="001F2271" w:rsidRPr="00F579A9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DOI:10.1038/ng.3576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A333" w14:textId="24161743" w:rsidR="001F2271" w:rsidRPr="00F579A9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2016</w:t>
            </w:r>
            <w:r>
              <w:rPr>
                <w:rFonts w:cs="Times New Roman"/>
                <w:spacing w:val="-1"/>
                <w:sz w:val="21"/>
                <w:szCs w:val="21"/>
              </w:rPr>
              <w:t>年</w:t>
            </w:r>
            <w:r>
              <w:rPr>
                <w:rFonts w:cs="Times New Roman"/>
                <w:spacing w:val="-1"/>
                <w:sz w:val="21"/>
                <w:szCs w:val="21"/>
              </w:rPr>
              <w:t>5</w:t>
            </w:r>
            <w:r>
              <w:rPr>
                <w:rFonts w:cs="Times New Roman"/>
                <w:spacing w:val="-1"/>
                <w:sz w:val="21"/>
                <w:szCs w:val="21"/>
              </w:rPr>
              <w:t>月</w:t>
            </w:r>
            <w:r>
              <w:rPr>
                <w:rFonts w:cs="Times New Roman"/>
                <w:spacing w:val="-1"/>
                <w:sz w:val="21"/>
                <w:szCs w:val="21"/>
              </w:rPr>
              <w:t>23</w:t>
            </w:r>
            <w:r>
              <w:rPr>
                <w:rFonts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8855" w14:textId="24450842" w:rsidR="001F2271" w:rsidRPr="005B6F63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Nature Genetics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168B" w14:textId="37D2400D" w:rsidR="001F2271" w:rsidRPr="00E32F53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312629">
              <w:rPr>
                <w:rFonts w:cs="Times New Roman" w:hint="eastAsia"/>
                <w:spacing w:val="-1"/>
                <w:sz w:val="21"/>
                <w:szCs w:val="21"/>
              </w:rPr>
              <w:t>安徽医科大学，深圳华大基因研究院，深圳碳云智能科技有限公司，哥本哈根大学，中山大学附属第一医院，东南大学，中日友好医院，安徽医科大学第二附属医院，中南大学湘雅医院，中国医科大学附属第一医院，山东第一医科大学，复旦大学附属华山医院，浙江大学医学院附属第二医院，上海交通大学医学院附属瑞金医院，北京大学人民医院，昆士兰大学，浙江大学沃森基因</w:t>
            </w:r>
            <w:r w:rsidRPr="00312629">
              <w:rPr>
                <w:rFonts w:cs="Times New Roman" w:hint="eastAsia"/>
                <w:spacing w:val="-1"/>
                <w:sz w:val="21"/>
                <w:szCs w:val="21"/>
              </w:rPr>
              <w:lastRenderedPageBreak/>
              <w:t>组科学研究院，卡罗琳斯卡医学院，阿卜杜勒阿齐兹国王大学，澳门科技大学，香港大学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C178" w14:textId="2A74B068" w:rsidR="001F2271" w:rsidRPr="002E0A9E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>
              <w:rPr>
                <w:rFonts w:cs="Times New Roman" w:hint="eastAsia"/>
                <w:spacing w:val="-1"/>
                <w:sz w:val="21"/>
                <w:szCs w:val="21"/>
              </w:rPr>
              <w:lastRenderedPageBreak/>
              <w:t>周伏圣，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曹红志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，左先波，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张涛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张晓光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，刘晓明，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许日聪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陈刚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张元伟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郑晓冬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金鑫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高金平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梅俊普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盛宇俊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李启斌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梁波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沈娟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沈长兵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江辉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朱才红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范星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徐凤萍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岳敏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尹先勇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叶诚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张翠翠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刘潇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余良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吴静华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陈梦云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张雪含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唐利利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邵昊静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吴龙茂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李建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徐钰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张一杰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赵素丽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王宇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李阁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徐汉诗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曾磊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王建安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白明洲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陈艳玲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陈伟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lastRenderedPageBreak/>
              <w:t>，康田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吴艳艳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徐迅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朱正伟，崔勇，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王再兴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杨春俊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王培光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项蕾红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，陈翔，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张安平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，高兴华，张福仁，徐金华，郑敏，郑捷，张建中，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余学清，李英睿，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杨森</w:t>
            </w:r>
            <w:r w:rsidR="002E0A9E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杨焕明</w:t>
            </w:r>
            <w:r w:rsidR="002E0A9E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汪健</w:t>
            </w:r>
            <w:r w:rsidR="002E0A9E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r w:rsidR="002E0A9E" w:rsidRPr="002E0A9E">
              <w:rPr>
                <w:rFonts w:cs="Times New Roman" w:hint="eastAsia"/>
                <w:spacing w:val="-1"/>
                <w:sz w:val="21"/>
                <w:szCs w:val="21"/>
              </w:rPr>
              <w:t>刘建军，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Lennart </w:t>
            </w:r>
            <w:proofErr w:type="spellStart"/>
            <w:r>
              <w:rPr>
                <w:rFonts w:cs="Times New Roman" w:hint="eastAsia"/>
                <w:spacing w:val="-1"/>
                <w:sz w:val="21"/>
                <w:szCs w:val="21"/>
              </w:rPr>
              <w:t>Hammarström</w:t>
            </w:r>
            <w:proofErr w:type="spellEnd"/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cs="Times New Roman" w:hint="eastAsia"/>
                <w:spacing w:val="-1"/>
                <w:sz w:val="21"/>
                <w:szCs w:val="21"/>
              </w:rPr>
              <w:t>Liangdan</w:t>
            </w:r>
            <w:proofErr w:type="spellEnd"/>
            <w:r>
              <w:rPr>
                <w:rFonts w:cs="Times New Roman" w:hint="eastAsia"/>
                <w:spacing w:val="-1"/>
                <w:sz w:val="21"/>
                <w:szCs w:val="21"/>
              </w:rPr>
              <w:t>，孙良丹，张学军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D0CC73" w14:textId="7CE32300" w:rsidR="001F2271" w:rsidRPr="00A40436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lastRenderedPageBreak/>
              <w:t>其他有效的知识产权</w:t>
            </w:r>
          </w:p>
        </w:tc>
      </w:tr>
      <w:tr w:rsidR="001F2271" w:rsidRPr="00E32F53" w14:paraId="31017464" w14:textId="77777777" w:rsidTr="00691B04">
        <w:trPr>
          <w:trHeight w:val="8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ED36" w14:textId="5D65B623" w:rsidR="001F2271" w:rsidRPr="00E32F53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261A" w14:textId="56603877" w:rsidR="001F2271" w:rsidRPr="00E32F53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A small interfering CD147-targeting RNA inhibited the proliferation, invasiveness, and metastatic activity of malignant melanoma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AC74" w14:textId="28B970B1" w:rsidR="001F2271" w:rsidRPr="00F579A9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EC577" w14:textId="3FD25ECE" w:rsidR="001F2271" w:rsidRPr="00F579A9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DOI: 10.1158/0008-5472.CAN-06-1536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5293" w14:textId="04BC6698" w:rsidR="001F2271" w:rsidRPr="00F579A9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2006</w:t>
            </w:r>
            <w:r>
              <w:rPr>
                <w:rFonts w:cs="Times New Roman"/>
                <w:spacing w:val="-1"/>
                <w:sz w:val="21"/>
                <w:szCs w:val="21"/>
              </w:rPr>
              <w:t>年</w:t>
            </w:r>
            <w:r>
              <w:rPr>
                <w:rFonts w:cs="Times New Roman"/>
                <w:spacing w:val="-1"/>
                <w:sz w:val="21"/>
                <w:szCs w:val="21"/>
              </w:rPr>
              <w:t>12</w:t>
            </w:r>
            <w:r>
              <w:rPr>
                <w:rFonts w:cs="Times New Roman"/>
                <w:spacing w:val="-1"/>
                <w:sz w:val="21"/>
                <w:szCs w:val="21"/>
              </w:rPr>
              <w:t>月</w:t>
            </w:r>
            <w:r>
              <w:rPr>
                <w:rFonts w:cs="Times New Roman"/>
                <w:spacing w:val="-1"/>
                <w:sz w:val="21"/>
                <w:szCs w:val="21"/>
              </w:rPr>
              <w:t>1</w:t>
            </w:r>
            <w:r>
              <w:rPr>
                <w:rFonts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C46A" w14:textId="22B1B9BD" w:rsidR="001F2271" w:rsidRPr="009E451A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Cancer Research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0FD1" w14:textId="0A91F8AA" w:rsidR="001F2271" w:rsidRPr="00E32F53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3C1FB6">
              <w:rPr>
                <w:rFonts w:cs="Times New Roman" w:hint="eastAsia"/>
                <w:spacing w:val="-1"/>
                <w:sz w:val="21"/>
                <w:szCs w:val="21"/>
              </w:rPr>
              <w:t>中南大学湘雅医院，鹿儿岛大学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A1C3" w14:textId="5676B289" w:rsidR="001F2271" w:rsidRPr="00E32F53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 w:hint="eastAsia"/>
                <w:spacing w:val="-1"/>
                <w:sz w:val="21"/>
                <w:szCs w:val="21"/>
              </w:rPr>
              <w:t>陈翔</w:t>
            </w:r>
            <w:r w:rsidR="002E0A9E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林静</w:t>
            </w:r>
            <w:r w:rsidR="002E0A9E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 w:hint="eastAsia"/>
                <w:spacing w:val="-1"/>
                <w:sz w:val="21"/>
                <w:szCs w:val="21"/>
              </w:rPr>
              <w:t>Takuro</w:t>
            </w:r>
            <w:proofErr w:type="spellEnd"/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 w:hint="eastAsia"/>
                <w:spacing w:val="-1"/>
                <w:sz w:val="21"/>
                <w:szCs w:val="21"/>
              </w:rPr>
              <w:t>Kanekura</w:t>
            </w:r>
            <w:proofErr w:type="spellEnd"/>
            <w:r w:rsidR="002E0A9E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粟娟</w:t>
            </w:r>
            <w:r w:rsidR="002E0A9E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林伟</w:t>
            </w:r>
            <w:r w:rsidR="002E0A9E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谢红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付</w:t>
            </w:r>
            <w:r w:rsidR="002E0A9E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吴轶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西</w:t>
            </w:r>
            <w:r w:rsidR="002E0A9E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李娟</w:t>
            </w:r>
            <w:r w:rsidR="002E0A9E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陈明亮</w:t>
            </w:r>
            <w:r w:rsidR="002E0A9E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常静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AB91B3" w14:textId="4D12FF8B" w:rsidR="001F2271" w:rsidRPr="00E32F53" w:rsidRDefault="001F2271" w:rsidP="001F227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其他有效的知识产权</w:t>
            </w:r>
          </w:p>
        </w:tc>
      </w:tr>
      <w:tr w:rsidR="007B72AA" w:rsidRPr="00E32F53" w14:paraId="4423BDEC" w14:textId="77777777" w:rsidTr="00691B04">
        <w:trPr>
          <w:trHeight w:val="8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641F" w14:textId="220940F9" w:rsidR="007B72AA" w:rsidRPr="004615A4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cs="宋体"/>
                <w:spacing w:val="-1"/>
                <w:kern w:val="0"/>
                <w:sz w:val="21"/>
                <w:szCs w:val="21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C730" w14:textId="403CFF8A" w:rsidR="007B72AA" w:rsidRPr="009E451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Association analyses identify six new psoriasis susceptibility loci in the Chinese population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52AE" w14:textId="27DF57A9" w:rsid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B9AC" w14:textId="38AF2BB8" w:rsidR="007B72AA" w:rsidRPr="008A1E6C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DOI: 10.1038/ng.690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DADF" w14:textId="5E9F72DA" w:rsidR="007B72AA" w:rsidRPr="007934C2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2010</w:t>
            </w:r>
            <w:r>
              <w:rPr>
                <w:rFonts w:cs="Times New Roman"/>
                <w:spacing w:val="-1"/>
                <w:sz w:val="21"/>
                <w:szCs w:val="21"/>
              </w:rPr>
              <w:t>年</w:t>
            </w:r>
            <w:r>
              <w:rPr>
                <w:rFonts w:cs="Times New Roman"/>
                <w:spacing w:val="-1"/>
                <w:sz w:val="21"/>
                <w:szCs w:val="21"/>
              </w:rPr>
              <w:t>10</w:t>
            </w:r>
            <w:r>
              <w:rPr>
                <w:rFonts w:cs="Times New Roman"/>
                <w:spacing w:val="-1"/>
                <w:sz w:val="21"/>
                <w:szCs w:val="21"/>
              </w:rPr>
              <w:t>月</w:t>
            </w:r>
            <w:r>
              <w:rPr>
                <w:rFonts w:cs="Times New Roman"/>
                <w:spacing w:val="-1"/>
                <w:sz w:val="21"/>
                <w:szCs w:val="21"/>
              </w:rPr>
              <w:t>17</w:t>
            </w:r>
            <w:r>
              <w:rPr>
                <w:rFonts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5941" w14:textId="50D1CE59" w:rsidR="007B72AA" w:rsidRPr="00761441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Nature Genetics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EDF4" w14:textId="65283964" w:rsidR="007B72AA" w:rsidRPr="00F0051B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FA21FD">
              <w:rPr>
                <w:rFonts w:cs="Times New Roman" w:hint="eastAsia"/>
                <w:spacing w:val="-1"/>
                <w:sz w:val="21"/>
                <w:szCs w:val="21"/>
              </w:rPr>
              <w:t>安徽医科大学第一医院，安徽医科大学，上海复旦大学附属华山医院，德国基尔大学临床分子生物学研究所，山东省皮肤性病防治研究所，新疆维吾尔自治区人民医院，中国人民解放军空军总医院，北京大学人民医院，杭州市第三人民医院，内蒙古医科大学附属医院，长征医院，美国圣</w:t>
            </w:r>
            <w:r w:rsidRPr="00FA21FD">
              <w:rPr>
                <w:rFonts w:cs="Times New Roman" w:hint="eastAsia"/>
                <w:spacing w:val="-1"/>
                <w:sz w:val="21"/>
                <w:szCs w:val="21"/>
              </w:rPr>
              <w:lastRenderedPageBreak/>
              <w:t>路易斯华盛顿大学医学院，石勒苏益格</w:t>
            </w:r>
            <w:r w:rsidRPr="00FA21FD">
              <w:rPr>
                <w:rFonts w:cs="Times New Roman" w:hint="eastAsia"/>
                <w:spacing w:val="-1"/>
                <w:sz w:val="21"/>
                <w:szCs w:val="21"/>
              </w:rPr>
              <w:t>-</w:t>
            </w:r>
            <w:r w:rsidRPr="00FA21FD">
              <w:rPr>
                <w:rFonts w:cs="Times New Roman" w:hint="eastAsia"/>
                <w:spacing w:val="-1"/>
                <w:sz w:val="21"/>
                <w:szCs w:val="21"/>
              </w:rPr>
              <w:t>荷尔斯泰因大学综合医院，密歇根大学，新加坡基因组研究院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6D3A" w14:textId="0E1EE27E" w:rsidR="007B72AA" w:rsidRPr="00AE38D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>
              <w:rPr>
                <w:rFonts w:cs="Times New Roman" w:hint="eastAsia"/>
                <w:spacing w:val="-1"/>
                <w:sz w:val="21"/>
                <w:szCs w:val="21"/>
              </w:rPr>
              <w:lastRenderedPageBreak/>
              <w:t>孙良丹，</w:t>
            </w:r>
            <w:r w:rsidR="00C10B56" w:rsidRPr="00AE38DA">
              <w:rPr>
                <w:rFonts w:cs="Times New Roman" w:hint="eastAsia"/>
                <w:spacing w:val="-1"/>
                <w:sz w:val="21"/>
                <w:szCs w:val="21"/>
              </w:rPr>
              <w:t>程晖，王再兴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C10B56" w:rsidRPr="00AE38DA">
              <w:rPr>
                <w:rFonts w:cs="Times New Roman" w:hint="eastAsia"/>
                <w:spacing w:val="-1"/>
                <w:sz w:val="21"/>
                <w:szCs w:val="21"/>
              </w:rPr>
              <w:t>张安平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，王培光，徐金华，</w:t>
            </w:r>
            <w:r w:rsidR="00274A15" w:rsidRPr="00AE38DA">
              <w:rPr>
                <w:rFonts w:cs="Times New Roman" w:hint="eastAsia"/>
                <w:spacing w:val="-1"/>
                <w:sz w:val="21"/>
                <w:szCs w:val="21"/>
              </w:rPr>
              <w:t>朱启星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274A15" w:rsidRPr="00AE38DA">
              <w:rPr>
                <w:rFonts w:cs="Times New Roman" w:hint="eastAsia"/>
                <w:spacing w:val="-1"/>
                <w:sz w:val="21"/>
                <w:szCs w:val="21"/>
              </w:rPr>
              <w:t>周海盛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Eva Ellinghaus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，张福仁，</w:t>
            </w:r>
            <w:r w:rsidR="00274A15" w:rsidRPr="00AE38DA">
              <w:rPr>
                <w:rFonts w:cs="Times New Roman" w:hint="eastAsia"/>
                <w:spacing w:val="-1"/>
                <w:sz w:val="21"/>
                <w:szCs w:val="21"/>
              </w:rPr>
              <w:t>普雄明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D0552B" w:rsidRPr="00AE38DA">
              <w:rPr>
                <w:rFonts w:cs="Times New Roman" w:hint="eastAsia"/>
                <w:spacing w:val="-1"/>
                <w:sz w:val="21"/>
                <w:szCs w:val="21"/>
              </w:rPr>
              <w:t>杨雪琴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，张建中，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许爱娥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乌日娜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许丽敏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彭林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Cynthia A Helms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任韵清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张弛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张书梅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Rajan P Nair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王红艳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林国书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Philip E Stuart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范星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陈刚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proofErr w:type="spellStart"/>
            <w:r>
              <w:rPr>
                <w:rFonts w:cs="Times New Roman" w:hint="eastAsia"/>
                <w:spacing w:val="-1"/>
                <w:sz w:val="21"/>
                <w:szCs w:val="21"/>
              </w:rPr>
              <w:t>Trilokraj</w:t>
            </w:r>
            <w:proofErr w:type="spellEnd"/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lastRenderedPageBreak/>
              <w:t>Tejasvi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李攀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朱俊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李智铭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葛宏梅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Michael </w:t>
            </w:r>
            <w:proofErr w:type="spellStart"/>
            <w:r>
              <w:rPr>
                <w:rFonts w:cs="Times New Roman" w:hint="eastAsia"/>
                <w:spacing w:val="-1"/>
                <w:sz w:val="21"/>
                <w:szCs w:val="21"/>
              </w:rPr>
              <w:t>Weichenthal</w:t>
            </w:r>
            <w:proofErr w:type="spellEnd"/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叶文珍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张成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沈颂科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杨宝琪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孙媛媛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李珊珊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林艳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蒋建华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李存涛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陈日新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程娟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蒋鑫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张鹏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宋为民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唐金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张皓钦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孙俪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崔静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张立军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唐彪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黄菲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秦倩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裴小平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周爱民，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邵丽梅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刘建兰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张凤玉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杜卫东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Andre Franke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Anne M Bowcock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James T Elder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刘建军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AE38DA" w:rsidRPr="00AE38DA">
              <w:rPr>
                <w:rFonts w:cs="Times New Roman" w:hint="eastAsia"/>
                <w:spacing w:val="-1"/>
                <w:sz w:val="21"/>
                <w:szCs w:val="21"/>
              </w:rPr>
              <w:t>杨森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，张学军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151DC5" w14:textId="293923D9" w:rsidR="007B72AA" w:rsidRPr="00A40436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lastRenderedPageBreak/>
              <w:t>其他有效的知识产权</w:t>
            </w:r>
          </w:p>
        </w:tc>
      </w:tr>
      <w:tr w:rsidR="007B72AA" w:rsidRPr="00E32F53" w14:paraId="7B9F0751" w14:textId="77777777" w:rsidTr="00691B04">
        <w:trPr>
          <w:trHeight w:val="893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5CBF" w14:textId="09A9B62B" w:rsidR="007B72AA" w:rsidRPr="00E32F53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指南共识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07D9" w14:textId="368E9A45" w:rsidR="007B72AA" w:rsidRPr="00E32F53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皮肤病流行病学研究专家共识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C39C" w14:textId="634E9F07" w:rsidR="007B72AA" w:rsidRPr="00F579A9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FEDB" w14:textId="24EE2054" w:rsidR="007B72AA" w:rsidRPr="00F579A9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DOI: 10.35541/cjd.20200913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E077" w14:textId="611483D7" w:rsidR="007B72AA" w:rsidRPr="00F579A9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2020</w:t>
            </w:r>
            <w:r>
              <w:rPr>
                <w:rFonts w:cs="Times New Roman"/>
                <w:spacing w:val="-1"/>
                <w:sz w:val="21"/>
                <w:szCs w:val="21"/>
              </w:rPr>
              <w:t>年</w:t>
            </w:r>
            <w:r>
              <w:rPr>
                <w:rFonts w:cs="Times New Roman"/>
                <w:spacing w:val="-1"/>
                <w:sz w:val="21"/>
                <w:szCs w:val="21"/>
              </w:rPr>
              <w:t>12</w:t>
            </w:r>
            <w:r>
              <w:rPr>
                <w:rFonts w:cs="Times New Roman"/>
                <w:spacing w:val="-1"/>
                <w:sz w:val="21"/>
                <w:szCs w:val="21"/>
              </w:rPr>
              <w:t>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04F5" w14:textId="4843C26D" w:rsidR="007B72AA" w:rsidRPr="00E32F53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中华皮肤科杂志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E8AB" w14:textId="4D9762E8" w:rsidR="007B72AA" w:rsidRPr="00E32F53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中华医学会皮肤性病学分会皮肤肿瘤研究中心，中国医师协会皮肤科医师分会皮肤肿瘤亚专业委员会，医疗大数据应用技术国家工程实验室（中南大学）皮肤疾病大数据工作委员会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D4C5" w14:textId="5C12F765" w:rsidR="007B72AA" w:rsidRPr="00E32F53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 w:hint="eastAsia"/>
                <w:spacing w:val="-1"/>
                <w:sz w:val="21"/>
                <w:szCs w:val="21"/>
              </w:rPr>
              <w:t>陈翔，陶娟，粟娟，沈敏学，陈爱军，陈浩，陈明亮，陈翔，方方，高兴华，耿松梅，顾恒，郭书萍，郭砚，何黎，何焱玲，纪超，贾雪松，赖维，雷霞，李春英，李航，李恒进，李珊山，栗玉珍，林有坤，陆前进，鲁严，吕成志，满孝勇，潘萌，钱华，冉玉平，宋智琦，粟娟，孙良丹，陶娟，万苗坚，王惠平，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lastRenderedPageBreak/>
              <w:t>王秀丽，汪旸，汪宇，徐金华，曾抗，张春雷，张静，张守民，赵华，郑跃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8D4BBA" w14:textId="3276911C" w:rsidR="007B72AA" w:rsidRPr="00E32F53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lastRenderedPageBreak/>
              <w:t>其他有效的知识产权</w:t>
            </w:r>
          </w:p>
        </w:tc>
      </w:tr>
      <w:tr w:rsidR="007B72AA" w:rsidRPr="00E32F53" w14:paraId="5C7425E5" w14:textId="77777777" w:rsidTr="00691B04">
        <w:trPr>
          <w:trHeight w:val="893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B5B5" w14:textId="23AF39F8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发明专利</w:t>
            </w:r>
            <w:r w:rsidRPr="007B72AA">
              <w:rPr>
                <w:rFonts w:cs="Times New Roman" w:hint="eastAsia"/>
                <w:spacing w:val="-1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D6EB" w14:textId="5040A59A" w:rsidR="007B72AA" w:rsidRPr="007B72AA" w:rsidRDefault="00C16E99" w:rsidP="00C16E99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C16E99">
              <w:rPr>
                <w:rFonts w:cs="Times New Roman" w:hint="eastAsia"/>
                <w:spacing w:val="-1"/>
                <w:sz w:val="21"/>
                <w:szCs w:val="21"/>
              </w:rPr>
              <w:t>聚乙二醇作为活性成分在制备银屑病治疗药物中的应用及其药物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BA01" w14:textId="75781A03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A0E4" w14:textId="41F1C4FF" w:rsidR="007B72AA" w:rsidRPr="007B72AA" w:rsidRDefault="00C16E99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C16E99">
              <w:rPr>
                <w:rFonts w:cs="Times New Roman"/>
                <w:spacing w:val="-1"/>
                <w:sz w:val="21"/>
                <w:szCs w:val="21"/>
              </w:rPr>
              <w:t>ZL20181 0048207.4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0D37" w14:textId="7987E3DE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202</w:t>
            </w:r>
            <w:r w:rsidR="00C16E99">
              <w:rPr>
                <w:rFonts w:cs="Times New Roman"/>
                <w:spacing w:val="-1"/>
                <w:sz w:val="21"/>
                <w:szCs w:val="21"/>
              </w:rPr>
              <w:t>0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>年</w:t>
            </w:r>
            <w:r w:rsidR="00C16E99">
              <w:rPr>
                <w:rFonts w:cs="Times New Roman"/>
                <w:spacing w:val="-1"/>
                <w:sz w:val="21"/>
                <w:szCs w:val="21"/>
              </w:rPr>
              <w:t>12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>月</w:t>
            </w:r>
            <w:r w:rsidR="00C16E99">
              <w:rPr>
                <w:rFonts w:cs="Times New Roman"/>
                <w:spacing w:val="-1"/>
                <w:sz w:val="21"/>
                <w:szCs w:val="21"/>
              </w:rPr>
              <w:t>11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CE47" w14:textId="17779090" w:rsidR="007B72AA" w:rsidRPr="007B72AA" w:rsidRDefault="00C16E99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4146444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1E5B" w14:textId="67EAB367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中南大学湘雅医院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7B7A" w14:textId="17229F36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7B72AA">
              <w:rPr>
                <w:rFonts w:cs="Times New Roman" w:hint="eastAsia"/>
                <w:spacing w:val="-1"/>
                <w:sz w:val="21"/>
                <w:szCs w:val="21"/>
              </w:rPr>
              <w:t>陈翔，</w:t>
            </w:r>
            <w:r w:rsidR="00C16E99" w:rsidRPr="00C16E99">
              <w:rPr>
                <w:rFonts w:cs="Times New Roman" w:hint="eastAsia"/>
                <w:spacing w:val="-1"/>
                <w:sz w:val="21"/>
                <w:szCs w:val="21"/>
              </w:rPr>
              <w:t>匡叶红</w:t>
            </w:r>
            <w:r w:rsidR="00C16E99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C16E99" w:rsidRPr="00C16E99">
              <w:rPr>
                <w:rFonts w:cs="Times New Roman" w:hint="eastAsia"/>
                <w:spacing w:val="-1"/>
                <w:sz w:val="21"/>
                <w:szCs w:val="21"/>
              </w:rPr>
              <w:t>周</w:t>
            </w:r>
            <w:r w:rsidR="00C16E99">
              <w:rPr>
                <w:rFonts w:cs="Times New Roman" w:hint="eastAsia"/>
                <w:spacing w:val="-1"/>
                <w:sz w:val="21"/>
                <w:szCs w:val="21"/>
              </w:rPr>
              <w:t>星</w:t>
            </w:r>
            <w:r w:rsidR="00C16E99" w:rsidRPr="00C16E99">
              <w:rPr>
                <w:rFonts w:cs="Times New Roman" w:hint="eastAsia"/>
                <w:spacing w:val="-1"/>
                <w:sz w:val="21"/>
                <w:szCs w:val="21"/>
              </w:rPr>
              <w:t>辰</w:t>
            </w:r>
            <w:r w:rsidR="00C16E99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C16E99" w:rsidRPr="00C16E99">
              <w:rPr>
                <w:rFonts w:cs="Times New Roman" w:hint="eastAsia"/>
                <w:spacing w:val="-1"/>
                <w:sz w:val="21"/>
                <w:szCs w:val="21"/>
              </w:rPr>
              <w:t>朱武</w:t>
            </w:r>
            <w:r w:rsidR="00C16E99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C16E99" w:rsidRPr="00C16E99">
              <w:rPr>
                <w:rFonts w:cs="Times New Roman" w:hint="eastAsia"/>
                <w:spacing w:val="-1"/>
                <w:sz w:val="21"/>
                <w:szCs w:val="21"/>
              </w:rPr>
              <w:t>鲁艳</w:t>
            </w:r>
            <w:r w:rsidR="00C16E99">
              <w:rPr>
                <w:rFonts w:cs="Times New Roman" w:hint="eastAsia"/>
                <w:spacing w:val="-1"/>
                <w:sz w:val="21"/>
                <w:szCs w:val="21"/>
              </w:rPr>
              <w:t>，</w:t>
            </w:r>
            <w:r w:rsidR="00C16E99" w:rsidRPr="00C16E99">
              <w:rPr>
                <w:rFonts w:cs="Times New Roman" w:hint="eastAsia"/>
                <w:spacing w:val="-1"/>
                <w:sz w:val="21"/>
                <w:szCs w:val="21"/>
              </w:rPr>
              <w:t>覃群师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1FCFD0" w14:textId="6DDE99B3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有效专利</w:t>
            </w:r>
          </w:p>
        </w:tc>
      </w:tr>
      <w:tr w:rsidR="007B72AA" w:rsidRPr="00E32F53" w14:paraId="1541EEED" w14:textId="77777777" w:rsidTr="00691B04">
        <w:trPr>
          <w:trHeight w:val="893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AC15" w14:textId="18B5F00F" w:rsidR="007B72AA" w:rsidRPr="00E32F53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6CA1" w14:textId="04D9EFAA" w:rsidR="007B72AA" w:rsidRPr="00E32F53" w:rsidRDefault="00000000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hyperlink r:id="rId8" w:history="1">
              <w:r w:rsidR="007B72AA">
                <w:rPr>
                  <w:rFonts w:cs="Times New Roman"/>
                  <w:spacing w:val="-1"/>
                  <w:sz w:val="21"/>
                  <w:szCs w:val="21"/>
                </w:rPr>
                <w:t>Propranolol induces apoptosis of human umbilical vein endothelial cells through down-regulation of CD147</w:t>
              </w:r>
            </w:hyperlink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55E0" w14:textId="2551F094" w:rsidR="007B72AA" w:rsidRPr="00F579A9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2FBE" w14:textId="027BE8DE" w:rsidR="007B72AA" w:rsidRPr="00F579A9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DOI:10.1111/bjd.12193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5CCC" w14:textId="53E95481" w:rsidR="007B72AA" w:rsidRPr="00F579A9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2013</w:t>
            </w:r>
            <w:r>
              <w:rPr>
                <w:rFonts w:cs="Times New Roman"/>
                <w:spacing w:val="-1"/>
                <w:sz w:val="21"/>
                <w:szCs w:val="21"/>
              </w:rPr>
              <w:t>年</w:t>
            </w:r>
            <w:r>
              <w:rPr>
                <w:rFonts w:cs="Times New Roman"/>
                <w:spacing w:val="-1"/>
                <w:sz w:val="21"/>
                <w:szCs w:val="21"/>
              </w:rPr>
              <w:t>4</w:t>
            </w:r>
            <w:r>
              <w:rPr>
                <w:rFonts w:cs="Times New Roman"/>
                <w:spacing w:val="-1"/>
                <w:sz w:val="21"/>
                <w:szCs w:val="21"/>
              </w:rPr>
              <w:t>月</w:t>
            </w:r>
            <w:r>
              <w:rPr>
                <w:rFonts w:cs="Times New Roman"/>
                <w:spacing w:val="-1"/>
                <w:sz w:val="21"/>
                <w:szCs w:val="21"/>
              </w:rPr>
              <w:t>1</w:t>
            </w:r>
            <w:r>
              <w:rPr>
                <w:rFonts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D09B" w14:textId="0F844250" w:rsidR="007B72AA" w:rsidRPr="00E32F53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British Journal of Dermatology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A3A0" w14:textId="3129C685" w:rsidR="007B72AA" w:rsidRPr="00E32F53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047CA9">
              <w:rPr>
                <w:rFonts w:cs="Times New Roman" w:hint="eastAsia"/>
                <w:spacing w:val="-1"/>
                <w:sz w:val="21"/>
                <w:szCs w:val="21"/>
              </w:rPr>
              <w:t>中南大学湘雅医院，湖南省马王堆医院，中南大学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F862" w14:textId="7AC07B13" w:rsidR="007B72AA" w:rsidRPr="00E32F53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 w:hint="eastAsia"/>
                <w:spacing w:val="-1"/>
                <w:sz w:val="21"/>
                <w:szCs w:val="21"/>
              </w:rPr>
              <w:t>谢卧龙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 xml:space="preserve">, </w:t>
            </w:r>
            <w:r>
              <w:rPr>
                <w:rFonts w:cs="Times New Roman" w:hint="eastAsia"/>
                <w:spacing w:val="-1"/>
                <w:sz w:val="21"/>
                <w:szCs w:val="21"/>
              </w:rPr>
              <w:t>谢红付，刘芬芳，李薇，简丹，易梅，雷丹，肖潇，李吉，陈翔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6A9779" w14:textId="0C7C542D" w:rsidR="007B72AA" w:rsidRPr="00E32F53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其他有效的知识产权</w:t>
            </w:r>
          </w:p>
        </w:tc>
      </w:tr>
      <w:tr w:rsidR="007B72AA" w:rsidRPr="00E32F53" w14:paraId="516032DA" w14:textId="77777777" w:rsidTr="00691B04">
        <w:trPr>
          <w:trHeight w:val="8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B837" w14:textId="02824086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发明专利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DFB6" w14:textId="20140AEC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一种载光敏剂的可溶性微针和微针阵列及制备方法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18C4" w14:textId="10376465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F444" w14:textId="52E0BE4F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ZL201910231056.0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9F1B" w14:textId="5F089163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2023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>年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>02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>月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>28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>日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B6CE" w14:textId="33DDAFC3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5760254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0188" w14:textId="2B5461C8" w:rsidR="007B72AA" w:rsidRPr="007B72AA" w:rsidRDefault="007B72AA" w:rsidP="007B72AA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cs="Times New Roman"/>
                <w:spacing w:val="-1"/>
                <w:sz w:val="21"/>
                <w:szCs w:val="21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华中科技大学同济医学院附属协和医院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B29F" w14:textId="03F99559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 w:rsidRPr="007B72AA">
              <w:rPr>
                <w:rFonts w:cs="Times New Roman" w:hint="eastAsia"/>
                <w:spacing w:val="-1"/>
                <w:sz w:val="21"/>
                <w:szCs w:val="21"/>
              </w:rPr>
              <w:t>陶娟，朱今巾，朱锦涛，李钰策，张连斌，杜虹瑶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684D0A" w14:textId="5E6113B2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spacing w:val="-1"/>
                <w:sz w:val="21"/>
                <w:szCs w:val="21"/>
              </w:rPr>
            </w:pPr>
            <w:r>
              <w:rPr>
                <w:rFonts w:cs="Times New Roman"/>
                <w:spacing w:val="-1"/>
                <w:sz w:val="21"/>
                <w:szCs w:val="21"/>
              </w:rPr>
              <w:t>有效专利</w:t>
            </w:r>
          </w:p>
        </w:tc>
      </w:tr>
      <w:tr w:rsidR="007B72AA" w:rsidRPr="00E32F53" w14:paraId="13CAD469" w14:textId="77777777" w:rsidTr="00691B04">
        <w:trPr>
          <w:trHeight w:val="8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30AC" w14:textId="74850D72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17D1" w14:textId="524A0807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proofErr w:type="spellStart"/>
            <w:r w:rsidRPr="007B72AA">
              <w:rPr>
                <w:rFonts w:cs="Times New Roman"/>
                <w:spacing w:val="-1"/>
                <w:sz w:val="21"/>
                <w:szCs w:val="21"/>
              </w:rPr>
              <w:t>ADMETlab</w:t>
            </w:r>
            <w:proofErr w:type="spellEnd"/>
            <w:r w:rsidRPr="007B72AA">
              <w:rPr>
                <w:rFonts w:cs="Times New Roman"/>
                <w:spacing w:val="-1"/>
                <w:sz w:val="21"/>
                <w:szCs w:val="21"/>
              </w:rPr>
              <w:t xml:space="preserve"> 2.0: an integrated online platform for accurate and comprehensive predictions of ADMET properties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84E4" w14:textId="3E98D1A4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021C" w14:textId="6B9FDE63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DOI: 10.1093/</w:t>
            </w:r>
            <w:proofErr w:type="spellStart"/>
            <w:r w:rsidRPr="007B72AA">
              <w:rPr>
                <w:rFonts w:cs="Times New Roman"/>
                <w:spacing w:val="-1"/>
                <w:sz w:val="21"/>
                <w:szCs w:val="21"/>
              </w:rPr>
              <w:t>nar</w:t>
            </w:r>
            <w:proofErr w:type="spellEnd"/>
            <w:r w:rsidRPr="007B72AA">
              <w:rPr>
                <w:rFonts w:cs="Times New Roman"/>
                <w:spacing w:val="-1"/>
                <w:sz w:val="21"/>
                <w:szCs w:val="21"/>
              </w:rPr>
              <w:t>/gkab255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B97F" w14:textId="3E4B5BC9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2021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>年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>7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>月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>2</w:t>
            </w:r>
            <w:r w:rsidRPr="007B72AA">
              <w:rPr>
                <w:rFonts w:cs="Times New Roman"/>
                <w:spacing w:val="-1"/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285C" w14:textId="47FC76BC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Nucleic Acids Research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287D" w14:textId="04394D1D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7B72AA">
              <w:rPr>
                <w:rFonts w:cs="Times New Roman" w:hint="eastAsia"/>
                <w:spacing w:val="-1"/>
                <w:sz w:val="21"/>
                <w:szCs w:val="21"/>
              </w:rPr>
              <w:t>中南大学，浙江大学，国防科技大学，腾讯科技（深圳）有限公司，中南大学湘雅医院，湖南大学，香港浸会大学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1FCD" w14:textId="07DD6CC9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7B72AA">
              <w:rPr>
                <w:rFonts w:cs="Times New Roman" w:hint="eastAsia"/>
                <w:spacing w:val="-1"/>
                <w:sz w:val="21"/>
                <w:szCs w:val="21"/>
              </w:rPr>
              <w:t>熊国丽，吴振兴，蚁佳才，付丽，杨芷江，</w:t>
            </w:r>
            <w:r w:rsidRPr="007B72AA">
              <w:rPr>
                <w:rFonts w:cs="Times New Roman" w:hint="eastAsia"/>
                <w:spacing w:val="-1"/>
                <w:sz w:val="21"/>
                <w:szCs w:val="21"/>
              </w:rPr>
              <w:t>Changyu Hsieh</w:t>
            </w:r>
            <w:r w:rsidRPr="007B72AA">
              <w:rPr>
                <w:rFonts w:cs="Times New Roman" w:hint="eastAsia"/>
                <w:spacing w:val="-1"/>
                <w:sz w:val="21"/>
                <w:szCs w:val="21"/>
              </w:rPr>
              <w:t>，印明柱，曾湘祥，吴诚堃，卢爱萍，陈翔，侯廷军，曹东升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E1AD86" w14:textId="0F10E892" w:rsidR="007B72AA" w:rsidRPr="007B72AA" w:rsidRDefault="007B72AA" w:rsidP="007B72AA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7B72AA">
              <w:rPr>
                <w:rFonts w:cs="Times New Roman"/>
                <w:spacing w:val="-1"/>
                <w:sz w:val="21"/>
                <w:szCs w:val="21"/>
              </w:rPr>
              <w:t>其他有效的知识产权</w:t>
            </w:r>
          </w:p>
        </w:tc>
      </w:tr>
    </w:tbl>
    <w:p w14:paraId="13601239" w14:textId="77777777" w:rsidR="00E32F53" w:rsidRPr="00E32F53" w:rsidRDefault="00E32F53" w:rsidP="00E32F53">
      <w:pPr>
        <w:ind w:firstLineChars="0" w:firstLine="0"/>
      </w:pPr>
    </w:p>
    <w:sectPr w:rsidR="00E32F53" w:rsidRPr="00E32F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A7C1" w14:textId="77777777" w:rsidR="00A47D01" w:rsidRDefault="00A47D01">
      <w:pPr>
        <w:spacing w:line="240" w:lineRule="auto"/>
        <w:ind w:firstLine="480"/>
      </w:pPr>
      <w:r>
        <w:separator/>
      </w:r>
    </w:p>
  </w:endnote>
  <w:endnote w:type="continuationSeparator" w:id="0">
    <w:p w14:paraId="45603177" w14:textId="77777777" w:rsidR="00A47D01" w:rsidRDefault="00A47D0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DA25" w14:textId="77777777" w:rsidR="00E31B50" w:rsidRDefault="00E31B5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00B6" w14:textId="77777777" w:rsidR="00E31B50" w:rsidRDefault="00E31B5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3DD" w14:textId="77777777" w:rsidR="00E31B50" w:rsidRDefault="00E31B5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5F33" w14:textId="77777777" w:rsidR="00A47D01" w:rsidRDefault="00A47D01">
      <w:pPr>
        <w:spacing w:line="240" w:lineRule="auto"/>
        <w:ind w:firstLine="480"/>
      </w:pPr>
      <w:r>
        <w:separator/>
      </w:r>
    </w:p>
  </w:footnote>
  <w:footnote w:type="continuationSeparator" w:id="0">
    <w:p w14:paraId="2A7F94CA" w14:textId="77777777" w:rsidR="00A47D01" w:rsidRDefault="00A47D0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1146" w14:textId="77777777" w:rsidR="00E31B50" w:rsidRDefault="00E31B50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462D" w14:textId="77777777" w:rsidR="00E31B50" w:rsidRDefault="00E31B50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E28D" w14:textId="77777777" w:rsidR="00E31B50" w:rsidRDefault="00E31B50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9343B"/>
    <w:multiLevelType w:val="multilevel"/>
    <w:tmpl w:val="26C9343B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88398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E41"/>
    <w:rsid w:val="00000067"/>
    <w:rsid w:val="00013E09"/>
    <w:rsid w:val="00033D54"/>
    <w:rsid w:val="00060F34"/>
    <w:rsid w:val="000637DB"/>
    <w:rsid w:val="0007050A"/>
    <w:rsid w:val="00083923"/>
    <w:rsid w:val="00085CBD"/>
    <w:rsid w:val="00093033"/>
    <w:rsid w:val="000C6381"/>
    <w:rsid w:val="000D25D2"/>
    <w:rsid w:val="0011045D"/>
    <w:rsid w:val="001172DE"/>
    <w:rsid w:val="001346A0"/>
    <w:rsid w:val="0015407F"/>
    <w:rsid w:val="0015416B"/>
    <w:rsid w:val="00154FD1"/>
    <w:rsid w:val="001858AC"/>
    <w:rsid w:val="00196E24"/>
    <w:rsid w:val="001A785C"/>
    <w:rsid w:val="001C22B1"/>
    <w:rsid w:val="001E2A28"/>
    <w:rsid w:val="001F2271"/>
    <w:rsid w:val="002131B9"/>
    <w:rsid w:val="00221AA3"/>
    <w:rsid w:val="00231272"/>
    <w:rsid w:val="00231FBF"/>
    <w:rsid w:val="00241F2B"/>
    <w:rsid w:val="00274A15"/>
    <w:rsid w:val="002A76A2"/>
    <w:rsid w:val="002A7870"/>
    <w:rsid w:val="002E0A9E"/>
    <w:rsid w:val="002E35FA"/>
    <w:rsid w:val="002F2AE9"/>
    <w:rsid w:val="003163BE"/>
    <w:rsid w:val="0031759B"/>
    <w:rsid w:val="003362BD"/>
    <w:rsid w:val="00380F4B"/>
    <w:rsid w:val="00386253"/>
    <w:rsid w:val="003F2EB7"/>
    <w:rsid w:val="003F6E4A"/>
    <w:rsid w:val="00403C00"/>
    <w:rsid w:val="004204D9"/>
    <w:rsid w:val="00422113"/>
    <w:rsid w:val="00436262"/>
    <w:rsid w:val="0046119D"/>
    <w:rsid w:val="004615A4"/>
    <w:rsid w:val="004731E5"/>
    <w:rsid w:val="004A248B"/>
    <w:rsid w:val="004F116F"/>
    <w:rsid w:val="005360FF"/>
    <w:rsid w:val="00554C19"/>
    <w:rsid w:val="00583B74"/>
    <w:rsid w:val="005B6F63"/>
    <w:rsid w:val="005D4E57"/>
    <w:rsid w:val="005E0CB7"/>
    <w:rsid w:val="0060190E"/>
    <w:rsid w:val="00621E41"/>
    <w:rsid w:val="00643DDC"/>
    <w:rsid w:val="00682CCF"/>
    <w:rsid w:val="00683965"/>
    <w:rsid w:val="00691B04"/>
    <w:rsid w:val="006A326F"/>
    <w:rsid w:val="006A4A7D"/>
    <w:rsid w:val="006A6435"/>
    <w:rsid w:val="006D1585"/>
    <w:rsid w:val="00717BED"/>
    <w:rsid w:val="00725D2F"/>
    <w:rsid w:val="00742C95"/>
    <w:rsid w:val="00761441"/>
    <w:rsid w:val="007833E6"/>
    <w:rsid w:val="007934C2"/>
    <w:rsid w:val="007A238D"/>
    <w:rsid w:val="007B72AA"/>
    <w:rsid w:val="007B7411"/>
    <w:rsid w:val="007F0829"/>
    <w:rsid w:val="00826951"/>
    <w:rsid w:val="008275F9"/>
    <w:rsid w:val="008415DB"/>
    <w:rsid w:val="0085449D"/>
    <w:rsid w:val="008A02C5"/>
    <w:rsid w:val="008A1DC0"/>
    <w:rsid w:val="008A1E6C"/>
    <w:rsid w:val="008B7984"/>
    <w:rsid w:val="00925BE2"/>
    <w:rsid w:val="00960695"/>
    <w:rsid w:val="00975BEF"/>
    <w:rsid w:val="00992EAC"/>
    <w:rsid w:val="009E451A"/>
    <w:rsid w:val="009E4732"/>
    <w:rsid w:val="00A23CAA"/>
    <w:rsid w:val="00A32390"/>
    <w:rsid w:val="00A37DB3"/>
    <w:rsid w:val="00A40436"/>
    <w:rsid w:val="00A47D01"/>
    <w:rsid w:val="00A51EAD"/>
    <w:rsid w:val="00A56A07"/>
    <w:rsid w:val="00A73C9C"/>
    <w:rsid w:val="00A75DD6"/>
    <w:rsid w:val="00A96582"/>
    <w:rsid w:val="00AC4F5D"/>
    <w:rsid w:val="00AC5EA1"/>
    <w:rsid w:val="00AD4FDF"/>
    <w:rsid w:val="00AE38DA"/>
    <w:rsid w:val="00AF7824"/>
    <w:rsid w:val="00B05B80"/>
    <w:rsid w:val="00B0667F"/>
    <w:rsid w:val="00B13FE4"/>
    <w:rsid w:val="00B35B5D"/>
    <w:rsid w:val="00B73C49"/>
    <w:rsid w:val="00BA3023"/>
    <w:rsid w:val="00BA5ED6"/>
    <w:rsid w:val="00BB4212"/>
    <w:rsid w:val="00BB6BE5"/>
    <w:rsid w:val="00BC3B1D"/>
    <w:rsid w:val="00C05B05"/>
    <w:rsid w:val="00C10B56"/>
    <w:rsid w:val="00C16E99"/>
    <w:rsid w:val="00C274A5"/>
    <w:rsid w:val="00C61DC9"/>
    <w:rsid w:val="00C70564"/>
    <w:rsid w:val="00C869FC"/>
    <w:rsid w:val="00C90974"/>
    <w:rsid w:val="00C955FE"/>
    <w:rsid w:val="00CA7660"/>
    <w:rsid w:val="00CD6A11"/>
    <w:rsid w:val="00CE0A5E"/>
    <w:rsid w:val="00D00BBC"/>
    <w:rsid w:val="00D0552B"/>
    <w:rsid w:val="00D136E9"/>
    <w:rsid w:val="00D16CC0"/>
    <w:rsid w:val="00D40969"/>
    <w:rsid w:val="00D412DD"/>
    <w:rsid w:val="00D70F8F"/>
    <w:rsid w:val="00D96F82"/>
    <w:rsid w:val="00DB01DD"/>
    <w:rsid w:val="00DD7D44"/>
    <w:rsid w:val="00DE7DDD"/>
    <w:rsid w:val="00DF4A08"/>
    <w:rsid w:val="00E31B50"/>
    <w:rsid w:val="00E32F53"/>
    <w:rsid w:val="00E33309"/>
    <w:rsid w:val="00E33D8C"/>
    <w:rsid w:val="00E67190"/>
    <w:rsid w:val="00ED65BB"/>
    <w:rsid w:val="00EE344A"/>
    <w:rsid w:val="00EE430D"/>
    <w:rsid w:val="00F0051B"/>
    <w:rsid w:val="00F579A9"/>
    <w:rsid w:val="00F72101"/>
    <w:rsid w:val="00FE3C96"/>
    <w:rsid w:val="00FE5659"/>
    <w:rsid w:val="1CDF4D82"/>
    <w:rsid w:val="7DD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F7E53"/>
  <w15:docId w15:val="{C31030DB-6F55-4CC6-8BBA-DE69D276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240" w:after="240"/>
      <w:ind w:firstLineChars="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rFonts w:eastAsia="黑体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ind w:firstLineChars="0"/>
      <w:outlineLvl w:val="2"/>
    </w:pPr>
    <w:rPr>
      <w:rFonts w:eastAsia="黑体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ind w:firstLineChars="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ind w:firstLineChars="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Chars="0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ind w:firstLineChars="0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Plain Text"/>
    <w:basedOn w:val="a"/>
    <w:link w:val="a5"/>
    <w:qFormat/>
    <w:pPr>
      <w:ind w:firstLine="480"/>
      <w:jc w:val="both"/>
    </w:pPr>
    <w:rPr>
      <w:rFonts w:ascii="仿宋_GB2312" w:cs="Times New Roman"/>
      <w:szCs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pPr>
      <w:spacing w:before="120" w:after="120"/>
      <w:ind w:firstLineChars="0" w:firstLine="0"/>
      <w:jc w:val="center"/>
      <w:outlineLvl w:val="0"/>
    </w:pPr>
    <w:rPr>
      <w:rFonts w:cstheme="majorBidi"/>
      <w:b/>
      <w:bCs/>
      <w:sz w:val="32"/>
      <w:szCs w:val="32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af">
    <w:name w:val="图表标题"/>
    <w:basedOn w:val="a"/>
    <w:link w:val="Char"/>
    <w:qFormat/>
    <w:pPr>
      <w:ind w:firstLineChars="0" w:firstLine="0"/>
      <w:jc w:val="center"/>
    </w:pPr>
    <w:rPr>
      <w:rFonts w:cs="Times New Roman"/>
      <w:sz w:val="21"/>
    </w:rPr>
  </w:style>
  <w:style w:type="character" w:customStyle="1" w:styleId="Char">
    <w:name w:val="图表标题 Char"/>
    <w:basedOn w:val="a0"/>
    <w:link w:val="af"/>
    <w:rPr>
      <w:rFonts w:ascii="Times New Roman" w:eastAsia="宋体" w:hAnsi="Times New Roman" w:cs="Times New Roma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4"/>
      <w:szCs w:val="24"/>
    </w:rPr>
  </w:style>
  <w:style w:type="paragraph" w:customStyle="1" w:styleId="af0">
    <w:name w:val="图表格式"/>
    <w:link w:val="af1"/>
    <w:qFormat/>
    <w:pPr>
      <w:jc w:val="center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1">
    <w:name w:val="图表格式 字符"/>
    <w:link w:val="af0"/>
    <w:qFormat/>
    <w:rPr>
      <w:rFonts w:ascii="Times New Roman" w:eastAsia="宋体" w:hAnsi="Times New Roman" w:cs="Times New Roman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黑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黑体" w:hAnsi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Pr>
      <w:rFonts w:ascii="Times New Roman" w:eastAsia="宋体" w:hAnsi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="Times New Roman" w:eastAsia="宋体" w:hAnsi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 w:val="24"/>
      <w:szCs w:val="21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b">
    <w:name w:val="标题 字符"/>
    <w:basedOn w:val="a0"/>
    <w:link w:val="aa"/>
    <w:uiPriority w:val="10"/>
    <w:rPr>
      <w:rFonts w:ascii="Times New Roman" w:eastAsia="宋体" w:hAnsi="Times New Roman" w:cstheme="majorBidi"/>
      <w:b/>
      <w:bCs/>
      <w:sz w:val="32"/>
      <w:szCs w:val="32"/>
    </w:rPr>
  </w:style>
  <w:style w:type="paragraph" w:styleId="af2">
    <w:name w:val="List Paragraph"/>
    <w:basedOn w:val="a"/>
    <w:link w:val="af3"/>
    <w:uiPriority w:val="34"/>
    <w:qFormat/>
    <w:pPr>
      <w:ind w:firstLine="420"/>
    </w:pPr>
  </w:style>
  <w:style w:type="character" w:customStyle="1" w:styleId="af3">
    <w:name w:val="列表段落 字符"/>
    <w:link w:val="af2"/>
    <w:uiPriority w:val="34"/>
    <w:locked/>
    <w:rPr>
      <w:rFonts w:ascii="Times New Roman" w:eastAsia="宋体" w:hAnsi="Times New Roman"/>
      <w:sz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/>
      <w:sz w:val="18"/>
      <w:szCs w:val="18"/>
    </w:rPr>
  </w:style>
  <w:style w:type="character" w:customStyle="1" w:styleId="a5">
    <w:name w:val="纯文本 字符"/>
    <w:basedOn w:val="a0"/>
    <w:link w:val="a4"/>
    <w:qFormat/>
    <w:rPr>
      <w:rFonts w:ascii="仿宋_GB2312" w:eastAsia="宋体" w:hAnsi="Times New Roman" w:cs="Times New Roman"/>
      <w:sz w:val="24"/>
      <w:szCs w:val="20"/>
    </w:rPr>
  </w:style>
  <w:style w:type="character" w:styleId="af4">
    <w:name w:val="Strong"/>
    <w:basedOn w:val="a0"/>
    <w:uiPriority w:val="22"/>
    <w:qFormat/>
    <w:rsid w:val="007F0829"/>
    <w:rPr>
      <w:b/>
      <w:bCs/>
    </w:rPr>
  </w:style>
  <w:style w:type="paragraph" w:styleId="af5">
    <w:name w:val="Body Text"/>
    <w:basedOn w:val="a"/>
    <w:link w:val="af6"/>
    <w:uiPriority w:val="1"/>
    <w:qFormat/>
    <w:rsid w:val="00403C00"/>
    <w:pPr>
      <w:autoSpaceDE w:val="0"/>
      <w:autoSpaceDN w:val="0"/>
      <w:adjustRightInd w:val="0"/>
      <w:spacing w:line="240" w:lineRule="auto"/>
      <w:ind w:firstLineChars="0" w:firstLine="0"/>
    </w:pPr>
    <w:rPr>
      <w:rFonts w:ascii="宋体" w:cs="宋体"/>
      <w:kern w:val="0"/>
      <w:szCs w:val="24"/>
    </w:rPr>
  </w:style>
  <w:style w:type="character" w:customStyle="1" w:styleId="af6">
    <w:name w:val="正文文本 字符"/>
    <w:basedOn w:val="a0"/>
    <w:link w:val="af5"/>
    <w:uiPriority w:val="99"/>
    <w:rsid w:val="00403C00"/>
    <w:rPr>
      <w:rFonts w:ascii="宋体" w:eastAsia="宋体" w:hAnsi="Times New Roman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03C00"/>
    <w:pPr>
      <w:autoSpaceDE w:val="0"/>
      <w:autoSpaceDN w:val="0"/>
      <w:adjustRightInd w:val="0"/>
      <w:spacing w:line="240" w:lineRule="auto"/>
      <w:ind w:firstLineChars="0" w:firstLine="0"/>
    </w:pPr>
    <w:rPr>
      <w:rFonts w:ascii="宋体" w:cs="宋体"/>
      <w:kern w:val="0"/>
      <w:szCs w:val="24"/>
    </w:rPr>
  </w:style>
  <w:style w:type="character" w:styleId="af7">
    <w:name w:val="Emphasis"/>
    <w:basedOn w:val="a0"/>
    <w:uiPriority w:val="20"/>
    <w:qFormat/>
    <w:rsid w:val="001104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313698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550</Words>
  <Characters>3135</Characters>
  <Application>Microsoft Office Word</Application>
  <DocSecurity>0</DocSecurity>
  <Lines>26</Lines>
  <Paragraphs>7</Paragraphs>
  <ScaleCrop>false</ScaleCrop>
  <Company>Microsoft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 zhang</cp:lastModifiedBy>
  <cp:revision>6</cp:revision>
  <dcterms:created xsi:type="dcterms:W3CDTF">2019-12-04T05:57:00Z</dcterms:created>
  <dcterms:modified xsi:type="dcterms:W3CDTF">2024-01-08T11:28:00Z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