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48A839">
      <w:pPr>
        <w:spacing w:line="580" w:lineRule="exact"/>
        <w:rPr>
          <w:rFonts w:hint="eastAsia" w:ascii="方正小标宋简体" w:hAnsi="仿宋" w:eastAsia="方正小标宋简体" w:cs="仿宋"/>
          <w:color w:val="000000"/>
          <w:kern w:val="0"/>
          <w:sz w:val="32"/>
          <w:szCs w:val="32"/>
        </w:rPr>
      </w:pPr>
      <w:r>
        <w:rPr>
          <w:rFonts w:hint="eastAsia" w:ascii="方正小标宋简体" w:hAnsi="仿宋" w:eastAsia="方正小标宋简体" w:cs="仿宋"/>
          <w:color w:val="000000"/>
          <w:kern w:val="0"/>
          <w:sz w:val="32"/>
          <w:szCs w:val="32"/>
        </w:rPr>
        <w:t>安徽医科大学第一附属医院教师教学质量考核</w:t>
      </w:r>
      <w:bookmarkStart w:id="0" w:name="OLE_LINK5"/>
      <w:r>
        <w:rPr>
          <w:rFonts w:hint="eastAsia" w:ascii="方正小标宋简体" w:hAnsi="仿宋" w:eastAsia="方正小标宋简体" w:cs="仿宋"/>
          <w:color w:val="000000"/>
          <w:kern w:val="0"/>
          <w:sz w:val="32"/>
          <w:szCs w:val="32"/>
        </w:rPr>
        <w:t>审核性评价评分表</w:t>
      </w:r>
      <w:bookmarkEnd w:id="0"/>
    </w:p>
    <w:p w14:paraId="04BD3D60">
      <w:pPr>
        <w:rPr>
          <w:rFonts w:ascii="黑体" w:hAnsi="黑体" w:eastAsia="方正仿宋_GB2312" w:cs="黑体"/>
          <w:b/>
          <w:bCs/>
          <w:color w:val="000000"/>
          <w:kern w:val="0"/>
          <w:sz w:val="32"/>
          <w:szCs w:val="32"/>
        </w:rPr>
      </w:pPr>
      <w:r>
        <w:rPr>
          <w:rFonts w:hint="eastAsia" w:ascii="仿宋" w:hAnsi="仿宋" w:eastAsia="方正仿宋_GB2312" w:cs="仿宋"/>
          <w:b/>
          <w:bCs/>
          <w:sz w:val="28"/>
          <w:szCs w:val="28"/>
        </w:rPr>
        <w:t>学年：                                   教师姓名：</w:t>
      </w:r>
    </w:p>
    <w:tbl>
      <w:tblPr>
        <w:tblStyle w:val="3"/>
        <w:tblW w:w="11216" w:type="dxa"/>
        <w:tblInd w:w="-10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6"/>
        <w:gridCol w:w="6975"/>
        <w:gridCol w:w="1230"/>
        <w:gridCol w:w="1185"/>
      </w:tblGrid>
      <w:tr w14:paraId="521D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826" w:type="dxa"/>
            <w:noWrap w:val="0"/>
            <w:vAlign w:val="center"/>
          </w:tcPr>
          <w:p w14:paraId="3F63269E">
            <w:pPr>
              <w:widowControl/>
              <w:jc w:val="center"/>
              <w:textAlignment w:val="center"/>
              <w:rPr>
                <w:rFonts w:hint="eastAsia" w:ascii="仿宋" w:hAnsi="仿宋" w:eastAsia="仿宋" w:cs="仿宋"/>
                <w:b/>
                <w:bCs/>
                <w:sz w:val="24"/>
                <w:szCs w:val="24"/>
              </w:rPr>
            </w:pPr>
            <w:r>
              <w:rPr>
                <w:rFonts w:hint="eastAsia" w:ascii="仿宋" w:hAnsi="仿宋" w:eastAsia="仿宋" w:cs="仿宋"/>
                <w:b/>
                <w:bCs/>
                <w:color w:val="000000"/>
                <w:kern w:val="0"/>
                <w:sz w:val="24"/>
                <w:szCs w:val="24"/>
                <w:lang w:bidi="ar"/>
              </w:rPr>
              <w:t>指标类型</w:t>
            </w:r>
          </w:p>
        </w:tc>
        <w:tc>
          <w:tcPr>
            <w:tcW w:w="6975" w:type="dxa"/>
            <w:noWrap w:val="0"/>
            <w:vAlign w:val="center"/>
          </w:tcPr>
          <w:p w14:paraId="0E369B64">
            <w:pPr>
              <w:widowControl/>
              <w:jc w:val="center"/>
              <w:textAlignment w:val="center"/>
              <w:rPr>
                <w:rFonts w:hint="eastAsia" w:ascii="仿宋" w:hAnsi="仿宋" w:eastAsia="仿宋" w:cs="仿宋"/>
                <w:b/>
                <w:bCs/>
                <w:sz w:val="24"/>
                <w:szCs w:val="24"/>
              </w:rPr>
            </w:pPr>
            <w:r>
              <w:rPr>
                <w:rFonts w:hint="eastAsia" w:ascii="仿宋" w:hAnsi="仿宋" w:eastAsia="仿宋" w:cs="仿宋"/>
                <w:b/>
                <w:bCs/>
                <w:color w:val="000000"/>
                <w:kern w:val="0"/>
                <w:sz w:val="24"/>
                <w:szCs w:val="24"/>
                <w:lang w:bidi="ar"/>
              </w:rPr>
              <w:t>审议内容</w:t>
            </w:r>
          </w:p>
        </w:tc>
        <w:tc>
          <w:tcPr>
            <w:tcW w:w="1230" w:type="dxa"/>
            <w:noWrap w:val="0"/>
            <w:vAlign w:val="center"/>
          </w:tcPr>
          <w:p w14:paraId="4AA06D9D">
            <w:pPr>
              <w:widowControl/>
              <w:jc w:val="center"/>
              <w:textAlignment w:val="center"/>
              <w:rPr>
                <w:rFonts w:hint="eastAsia" w:ascii="仿宋" w:hAnsi="仿宋" w:eastAsia="仿宋" w:cs="仿宋"/>
                <w:b/>
                <w:bCs/>
                <w:sz w:val="24"/>
                <w:szCs w:val="24"/>
              </w:rPr>
            </w:pPr>
            <w:r>
              <w:rPr>
                <w:rFonts w:hint="eastAsia" w:ascii="仿宋" w:hAnsi="仿宋" w:eastAsia="仿宋" w:cs="仿宋"/>
                <w:b/>
                <w:bCs/>
                <w:sz w:val="24"/>
                <w:szCs w:val="24"/>
              </w:rPr>
              <w:t>审核得分</w:t>
            </w:r>
          </w:p>
        </w:tc>
        <w:tc>
          <w:tcPr>
            <w:tcW w:w="1185" w:type="dxa"/>
            <w:noWrap w:val="0"/>
            <w:vAlign w:val="center"/>
          </w:tcPr>
          <w:p w14:paraId="0813A47B">
            <w:pPr>
              <w:widowControl/>
              <w:jc w:val="center"/>
              <w:textAlignment w:val="center"/>
              <w:rPr>
                <w:rFonts w:hint="eastAsia" w:ascii="仿宋" w:hAnsi="仿宋" w:eastAsia="仿宋" w:cs="仿宋"/>
                <w:b/>
                <w:bCs/>
                <w:sz w:val="24"/>
                <w:szCs w:val="24"/>
              </w:rPr>
            </w:pPr>
            <w:r>
              <w:rPr>
                <w:rFonts w:hint="eastAsia" w:ascii="仿宋" w:hAnsi="仿宋" w:eastAsia="仿宋" w:cs="仿宋"/>
                <w:b/>
                <w:bCs/>
                <w:color w:val="000000"/>
                <w:kern w:val="0"/>
                <w:sz w:val="24"/>
                <w:szCs w:val="24"/>
                <w:lang w:bidi="ar"/>
              </w:rPr>
              <w:t>得分依据</w:t>
            </w:r>
          </w:p>
        </w:tc>
      </w:tr>
      <w:tr w14:paraId="24640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9" w:hRule="atLeast"/>
        </w:trPr>
        <w:tc>
          <w:tcPr>
            <w:tcW w:w="1826" w:type="dxa"/>
            <w:noWrap w:val="0"/>
            <w:vAlign w:val="center"/>
          </w:tcPr>
          <w:p w14:paraId="51D697F9">
            <w:pPr>
              <w:widowControl/>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专业建设情况</w:t>
            </w:r>
          </w:p>
          <w:p w14:paraId="6212FB59">
            <w:pPr>
              <w:widowControl/>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sz w:val="24"/>
                <w:szCs w:val="24"/>
              </w:rPr>
              <w:t>（此项满分15分）</w:t>
            </w:r>
          </w:p>
        </w:tc>
        <w:tc>
          <w:tcPr>
            <w:tcW w:w="6975" w:type="dxa"/>
            <w:noWrap w:val="0"/>
            <w:vAlign w:val="center"/>
          </w:tcPr>
          <w:p w14:paraId="3295A3D8">
            <w:pPr>
              <w:widowControl/>
              <w:jc w:val="left"/>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包括但不限于申报新专业、微专业、承担人才培养方案修订、教学大纲、课程质量标准等编写工作，担任专业秘书并认真履行职责、参与专业招生宣传片拍摄等与专业建设工作相关的情况。</w:t>
            </w:r>
          </w:p>
        </w:tc>
        <w:tc>
          <w:tcPr>
            <w:tcW w:w="1230" w:type="dxa"/>
            <w:noWrap w:val="0"/>
            <w:vAlign w:val="center"/>
          </w:tcPr>
          <w:p w14:paraId="1EC72BE2">
            <w:pPr>
              <w:jc w:val="center"/>
              <w:rPr>
                <w:rFonts w:hint="eastAsia" w:ascii="仿宋" w:hAnsi="仿宋" w:eastAsia="仿宋" w:cs="仿宋"/>
                <w:sz w:val="24"/>
                <w:szCs w:val="24"/>
              </w:rPr>
            </w:pPr>
          </w:p>
        </w:tc>
        <w:tc>
          <w:tcPr>
            <w:tcW w:w="1185" w:type="dxa"/>
            <w:noWrap w:val="0"/>
            <w:vAlign w:val="center"/>
          </w:tcPr>
          <w:p w14:paraId="10D29C35">
            <w:pPr>
              <w:jc w:val="center"/>
              <w:rPr>
                <w:rFonts w:hint="eastAsia" w:ascii="仿宋" w:hAnsi="仿宋" w:eastAsia="仿宋" w:cs="仿宋"/>
                <w:sz w:val="24"/>
                <w:szCs w:val="24"/>
              </w:rPr>
            </w:pPr>
          </w:p>
        </w:tc>
      </w:tr>
      <w:tr w14:paraId="12CED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1826" w:type="dxa"/>
            <w:noWrap w:val="0"/>
            <w:vAlign w:val="center"/>
          </w:tcPr>
          <w:p w14:paraId="688D2C90">
            <w:pPr>
              <w:widowControl/>
              <w:tabs>
                <w:tab w:val="left" w:pos="371"/>
                <w:tab w:val="center" w:pos="1092"/>
              </w:tabs>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sz w:val="24"/>
                <w:szCs w:val="24"/>
              </w:rPr>
              <w:t>课程建设</w:t>
            </w:r>
            <w:r>
              <w:rPr>
                <w:rFonts w:hint="eastAsia" w:ascii="仿宋" w:hAnsi="仿宋" w:eastAsia="仿宋" w:cs="仿宋"/>
                <w:color w:val="000000"/>
                <w:kern w:val="0"/>
                <w:sz w:val="24"/>
                <w:szCs w:val="24"/>
                <w:lang w:bidi="ar"/>
              </w:rPr>
              <w:t>情况</w:t>
            </w:r>
          </w:p>
          <w:p w14:paraId="3FB60419">
            <w:pPr>
              <w:widowControl/>
              <w:tabs>
                <w:tab w:val="left" w:pos="371"/>
                <w:tab w:val="center" w:pos="1092"/>
              </w:tabs>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sz w:val="24"/>
                <w:szCs w:val="24"/>
              </w:rPr>
              <w:t>（此项满分10分）</w:t>
            </w:r>
          </w:p>
        </w:tc>
        <w:tc>
          <w:tcPr>
            <w:tcW w:w="6975" w:type="dxa"/>
            <w:noWrap w:val="0"/>
            <w:vAlign w:val="center"/>
          </w:tcPr>
          <w:p w14:paraId="795A7306">
            <w:pPr>
              <w:widowControl/>
              <w:tabs>
                <w:tab w:val="left" w:pos="371"/>
                <w:tab w:val="center" w:pos="1092"/>
              </w:tabs>
              <w:jc w:val="left"/>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包括但不限于</w:t>
            </w:r>
            <w:r>
              <w:rPr>
                <w:rFonts w:hint="eastAsia" w:ascii="仿宋" w:hAnsi="仿宋" w:eastAsia="仿宋" w:cs="仿宋"/>
                <w:sz w:val="24"/>
                <w:szCs w:val="24"/>
              </w:rPr>
              <w:t>申报公共选修课、专业拓展课、AI课程、虚拟课程、网络课程、微课程，教案编写能够体现课程思政内容、OBE理念、能够满足“两性一度”要求等与课程建设</w:t>
            </w:r>
            <w:r>
              <w:rPr>
                <w:rFonts w:hint="eastAsia" w:ascii="仿宋" w:hAnsi="仿宋" w:eastAsia="仿宋" w:cs="仿宋"/>
                <w:color w:val="000000"/>
                <w:kern w:val="0"/>
                <w:sz w:val="24"/>
                <w:szCs w:val="24"/>
                <w:lang w:bidi="ar"/>
              </w:rPr>
              <w:t>工作相关的内容。</w:t>
            </w:r>
          </w:p>
        </w:tc>
        <w:tc>
          <w:tcPr>
            <w:tcW w:w="1230" w:type="dxa"/>
            <w:noWrap w:val="0"/>
            <w:vAlign w:val="center"/>
          </w:tcPr>
          <w:p w14:paraId="14CF69A9">
            <w:pPr>
              <w:jc w:val="center"/>
              <w:rPr>
                <w:rFonts w:hint="eastAsia" w:ascii="仿宋" w:hAnsi="仿宋" w:eastAsia="仿宋" w:cs="仿宋"/>
                <w:sz w:val="24"/>
                <w:szCs w:val="24"/>
              </w:rPr>
            </w:pPr>
          </w:p>
        </w:tc>
        <w:tc>
          <w:tcPr>
            <w:tcW w:w="1185" w:type="dxa"/>
            <w:noWrap w:val="0"/>
            <w:vAlign w:val="center"/>
          </w:tcPr>
          <w:p w14:paraId="3A816440">
            <w:pPr>
              <w:jc w:val="center"/>
              <w:rPr>
                <w:rFonts w:hint="eastAsia" w:ascii="仿宋" w:hAnsi="仿宋" w:eastAsia="仿宋" w:cs="仿宋"/>
                <w:sz w:val="24"/>
                <w:szCs w:val="24"/>
              </w:rPr>
            </w:pPr>
          </w:p>
        </w:tc>
      </w:tr>
      <w:tr w14:paraId="28B3F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1826" w:type="dxa"/>
            <w:noWrap w:val="0"/>
            <w:vAlign w:val="center"/>
          </w:tcPr>
          <w:p w14:paraId="452499A1">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教材建设情况</w:t>
            </w:r>
          </w:p>
          <w:p w14:paraId="007420E1">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（此项满分10分）</w:t>
            </w:r>
          </w:p>
        </w:tc>
        <w:tc>
          <w:tcPr>
            <w:tcW w:w="6975" w:type="dxa"/>
            <w:noWrap w:val="0"/>
            <w:vAlign w:val="center"/>
          </w:tcPr>
          <w:p w14:paraId="5E0C1355">
            <w:pPr>
              <w:widowControl/>
              <w:jc w:val="left"/>
              <w:textAlignment w:val="center"/>
              <w:rPr>
                <w:rFonts w:hint="eastAsia" w:ascii="仿宋" w:hAnsi="仿宋" w:eastAsia="仿宋" w:cs="仿宋"/>
                <w:sz w:val="24"/>
                <w:szCs w:val="24"/>
              </w:rPr>
            </w:pPr>
            <w:r>
              <w:rPr>
                <w:rFonts w:hint="eastAsia" w:ascii="仿宋" w:hAnsi="仿宋" w:eastAsia="仿宋" w:cs="仿宋"/>
                <w:color w:val="000000"/>
                <w:kern w:val="0"/>
                <w:sz w:val="24"/>
                <w:szCs w:val="24"/>
                <w:lang w:bidi="ar"/>
              </w:rPr>
              <w:t>包括但不限于参与规划教材、数字教材的</w:t>
            </w:r>
            <w:r>
              <w:rPr>
                <w:rFonts w:hint="eastAsia" w:ascii="仿宋" w:hAnsi="仿宋" w:eastAsia="仿宋" w:cs="仿宋"/>
                <w:color w:val="000000"/>
                <w:kern w:val="0"/>
                <w:sz w:val="24"/>
                <w:szCs w:val="24"/>
              </w:rPr>
              <w:t>申报、</w:t>
            </w:r>
            <w:r>
              <w:rPr>
                <w:rFonts w:hint="eastAsia" w:ascii="仿宋" w:hAnsi="仿宋" w:eastAsia="仿宋" w:cs="仿宋"/>
                <w:color w:val="000000"/>
                <w:kern w:val="0"/>
                <w:sz w:val="24"/>
                <w:szCs w:val="24"/>
                <w:lang w:bidi="ar"/>
              </w:rPr>
              <w:t>编写，著作编撰、出版等与教材建设工作相关的情况。</w:t>
            </w:r>
          </w:p>
        </w:tc>
        <w:tc>
          <w:tcPr>
            <w:tcW w:w="1230" w:type="dxa"/>
            <w:noWrap w:val="0"/>
            <w:vAlign w:val="center"/>
          </w:tcPr>
          <w:p w14:paraId="53317722">
            <w:pPr>
              <w:jc w:val="center"/>
              <w:rPr>
                <w:rFonts w:hint="eastAsia" w:ascii="仿宋" w:hAnsi="仿宋" w:eastAsia="仿宋" w:cs="仿宋"/>
                <w:sz w:val="24"/>
                <w:szCs w:val="24"/>
              </w:rPr>
            </w:pPr>
          </w:p>
        </w:tc>
        <w:tc>
          <w:tcPr>
            <w:tcW w:w="1185" w:type="dxa"/>
            <w:noWrap w:val="0"/>
            <w:vAlign w:val="center"/>
          </w:tcPr>
          <w:p w14:paraId="505E3340">
            <w:pPr>
              <w:jc w:val="center"/>
              <w:rPr>
                <w:rFonts w:hint="eastAsia" w:ascii="仿宋" w:hAnsi="仿宋" w:eastAsia="仿宋" w:cs="仿宋"/>
                <w:sz w:val="24"/>
                <w:szCs w:val="24"/>
              </w:rPr>
            </w:pPr>
          </w:p>
        </w:tc>
      </w:tr>
      <w:tr w14:paraId="5D84C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826" w:type="dxa"/>
            <w:noWrap w:val="0"/>
            <w:vAlign w:val="center"/>
          </w:tcPr>
          <w:p w14:paraId="64605829">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教师发展情况</w:t>
            </w:r>
          </w:p>
          <w:p w14:paraId="53BF50D3">
            <w:pPr>
              <w:widowControl/>
              <w:jc w:val="center"/>
              <w:textAlignment w:val="center"/>
              <w:rPr>
                <w:rFonts w:hint="eastAsia" w:ascii="仿宋" w:hAnsi="仿宋" w:eastAsia="仿宋" w:cs="仿宋"/>
                <w:sz w:val="24"/>
                <w:szCs w:val="24"/>
              </w:rPr>
            </w:pPr>
            <w:r>
              <w:rPr>
                <w:rFonts w:hint="eastAsia" w:ascii="仿宋" w:hAnsi="仿宋" w:eastAsia="仿宋" w:cs="仿宋"/>
                <w:sz w:val="24"/>
                <w:szCs w:val="24"/>
              </w:rPr>
              <w:t>（此项满分15分</w:t>
            </w:r>
            <w:bookmarkStart w:id="1" w:name="_GoBack"/>
            <w:bookmarkEnd w:id="1"/>
            <w:r>
              <w:rPr>
                <w:rFonts w:hint="eastAsia" w:ascii="仿宋" w:hAnsi="仿宋" w:eastAsia="仿宋" w:cs="仿宋"/>
                <w:sz w:val="24"/>
                <w:szCs w:val="24"/>
              </w:rPr>
              <w:t>）</w:t>
            </w:r>
          </w:p>
        </w:tc>
        <w:tc>
          <w:tcPr>
            <w:tcW w:w="6975" w:type="dxa"/>
            <w:noWrap w:val="0"/>
            <w:vAlign w:val="center"/>
          </w:tcPr>
          <w:p w14:paraId="325DD80B">
            <w:pPr>
              <w:widowControl/>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包括但不限于参加各级各类提升教师教学能力培训学习班、工作坊，获教学相关优秀表彰、各级各类教师教学竞赛</w:t>
            </w:r>
            <w:r>
              <w:rPr>
                <w:rFonts w:hint="eastAsia" w:ascii="仿宋" w:hAnsi="仿宋" w:eastAsia="仿宋" w:cs="仿宋"/>
                <w:color w:val="auto"/>
                <w:kern w:val="0"/>
                <w:sz w:val="24"/>
                <w:szCs w:val="24"/>
              </w:rPr>
              <w:t>获奖、</w:t>
            </w:r>
            <w:r>
              <w:rPr>
                <w:rStyle w:val="5"/>
                <w:rFonts w:hint="eastAsia" w:ascii="仿宋" w:hAnsi="仿宋" w:eastAsia="仿宋" w:cs="仿宋"/>
                <w:color w:val="auto"/>
                <w:sz w:val="24"/>
                <w:szCs w:val="24"/>
                <w:lang w:bidi="ar"/>
              </w:rPr>
              <w:t>作为各级各类教学赛事考官、</w:t>
            </w:r>
            <w:r>
              <w:rPr>
                <w:rFonts w:hint="eastAsia" w:ascii="仿宋" w:hAnsi="仿宋" w:eastAsia="仿宋" w:cs="仿宋"/>
                <w:color w:val="auto"/>
                <w:kern w:val="0"/>
                <w:sz w:val="24"/>
                <w:szCs w:val="24"/>
                <w:lang w:bidi="ar"/>
              </w:rPr>
              <w:t>质量工程项目结题优秀等与教师能力发展相关的情况。</w:t>
            </w:r>
          </w:p>
        </w:tc>
        <w:tc>
          <w:tcPr>
            <w:tcW w:w="1230" w:type="dxa"/>
            <w:noWrap w:val="0"/>
            <w:vAlign w:val="center"/>
          </w:tcPr>
          <w:p w14:paraId="3BBCA3BE">
            <w:pPr>
              <w:jc w:val="center"/>
              <w:rPr>
                <w:rFonts w:hint="eastAsia" w:ascii="仿宋" w:hAnsi="仿宋" w:eastAsia="仿宋" w:cs="仿宋"/>
                <w:sz w:val="24"/>
                <w:szCs w:val="24"/>
              </w:rPr>
            </w:pPr>
          </w:p>
        </w:tc>
        <w:tc>
          <w:tcPr>
            <w:tcW w:w="1185" w:type="dxa"/>
            <w:noWrap w:val="0"/>
            <w:vAlign w:val="center"/>
          </w:tcPr>
          <w:p w14:paraId="50F7F4F3">
            <w:pPr>
              <w:jc w:val="center"/>
              <w:rPr>
                <w:rFonts w:hint="eastAsia" w:ascii="仿宋" w:hAnsi="仿宋" w:eastAsia="仿宋" w:cs="仿宋"/>
                <w:sz w:val="24"/>
                <w:szCs w:val="24"/>
              </w:rPr>
            </w:pPr>
          </w:p>
        </w:tc>
      </w:tr>
      <w:tr w14:paraId="3EFAC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7" w:hRule="atLeast"/>
        </w:trPr>
        <w:tc>
          <w:tcPr>
            <w:tcW w:w="1826" w:type="dxa"/>
            <w:noWrap w:val="0"/>
            <w:vAlign w:val="center"/>
          </w:tcPr>
          <w:p w14:paraId="2B5C0C81">
            <w:pPr>
              <w:widowControl/>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日常教学活动开展情况</w:t>
            </w:r>
          </w:p>
          <w:p w14:paraId="38BFA446">
            <w:pPr>
              <w:widowControl/>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w:t>
            </w:r>
            <w:r>
              <w:rPr>
                <w:rFonts w:hint="eastAsia" w:ascii="仿宋" w:hAnsi="仿宋" w:eastAsia="仿宋" w:cs="仿宋"/>
                <w:sz w:val="24"/>
                <w:szCs w:val="24"/>
              </w:rPr>
              <w:t>此项满分</w:t>
            </w:r>
            <w:r>
              <w:rPr>
                <w:rFonts w:hint="eastAsia" w:ascii="仿宋" w:hAnsi="仿宋" w:eastAsia="仿宋" w:cs="仿宋"/>
                <w:color w:val="000000"/>
                <w:kern w:val="0"/>
                <w:sz w:val="24"/>
                <w:szCs w:val="24"/>
                <w:lang w:bidi="ar"/>
              </w:rPr>
              <w:t>35分）</w:t>
            </w:r>
          </w:p>
        </w:tc>
        <w:tc>
          <w:tcPr>
            <w:tcW w:w="6975" w:type="dxa"/>
            <w:noWrap w:val="0"/>
            <w:vAlign w:val="center"/>
          </w:tcPr>
          <w:p w14:paraId="4128F968">
            <w:pPr>
              <w:widowControl/>
              <w:jc w:val="left"/>
              <w:textAlignment w:val="center"/>
              <w:rPr>
                <w:rFonts w:hint="eastAsia" w:ascii="仿宋" w:hAnsi="仿宋" w:eastAsia="仿宋" w:cs="仿宋"/>
                <w:color w:val="auto"/>
                <w:kern w:val="0"/>
                <w:sz w:val="24"/>
                <w:szCs w:val="24"/>
                <w:lang w:bidi="ar"/>
              </w:rPr>
            </w:pPr>
            <w:r>
              <w:rPr>
                <w:rFonts w:hint="eastAsia" w:ascii="仿宋" w:hAnsi="仿宋" w:eastAsia="仿宋" w:cs="仿宋"/>
                <w:color w:val="auto"/>
                <w:kern w:val="0"/>
                <w:sz w:val="24"/>
                <w:szCs w:val="24"/>
                <w:lang w:bidi="ar"/>
              </w:rPr>
              <w:t>包括但不限于每学期能够及时、保质保量完成理论教学、实践教学各项教学任务（需关注调停课次数），绑定并使用教学一体化平台，担任教研室秘书或临床教学秘书，开展课堂教学作业布置、批改答疑并有记录，参与试卷命制、批阅、监考、成绩上报（需关注成绩更正次数、成绩分布合理性），参与开展实习生《临床思维与技能训练》课程等与日常教学活动开展相关的情况。</w:t>
            </w:r>
          </w:p>
        </w:tc>
        <w:tc>
          <w:tcPr>
            <w:tcW w:w="1230" w:type="dxa"/>
            <w:noWrap w:val="0"/>
            <w:vAlign w:val="center"/>
          </w:tcPr>
          <w:p w14:paraId="797C778E">
            <w:pPr>
              <w:jc w:val="center"/>
              <w:rPr>
                <w:rFonts w:hint="eastAsia" w:ascii="仿宋" w:hAnsi="仿宋" w:eastAsia="仿宋" w:cs="仿宋"/>
                <w:sz w:val="24"/>
                <w:szCs w:val="24"/>
              </w:rPr>
            </w:pPr>
          </w:p>
        </w:tc>
        <w:tc>
          <w:tcPr>
            <w:tcW w:w="1185" w:type="dxa"/>
            <w:noWrap w:val="0"/>
            <w:vAlign w:val="center"/>
          </w:tcPr>
          <w:p w14:paraId="756FF69D">
            <w:pPr>
              <w:jc w:val="center"/>
              <w:rPr>
                <w:rFonts w:hint="eastAsia" w:ascii="仿宋" w:hAnsi="仿宋" w:eastAsia="仿宋" w:cs="仿宋"/>
                <w:sz w:val="24"/>
                <w:szCs w:val="24"/>
              </w:rPr>
            </w:pPr>
          </w:p>
        </w:tc>
      </w:tr>
      <w:tr w14:paraId="35BBD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1826" w:type="dxa"/>
            <w:noWrap w:val="0"/>
            <w:vAlign w:val="center"/>
          </w:tcPr>
          <w:p w14:paraId="6D97EAD1">
            <w:pPr>
              <w:widowControl/>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指导学生实践情况</w:t>
            </w:r>
          </w:p>
          <w:p w14:paraId="5931E776">
            <w:pPr>
              <w:widowControl/>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w:t>
            </w:r>
            <w:r>
              <w:rPr>
                <w:rFonts w:hint="eastAsia" w:ascii="仿宋" w:hAnsi="仿宋" w:eastAsia="仿宋" w:cs="仿宋"/>
                <w:sz w:val="24"/>
                <w:szCs w:val="24"/>
              </w:rPr>
              <w:t>此项满分</w:t>
            </w:r>
            <w:r>
              <w:rPr>
                <w:rFonts w:hint="eastAsia" w:ascii="仿宋" w:hAnsi="仿宋" w:eastAsia="仿宋" w:cs="仿宋"/>
                <w:color w:val="000000"/>
                <w:kern w:val="0"/>
                <w:sz w:val="24"/>
                <w:szCs w:val="24"/>
                <w:lang w:bidi="ar"/>
              </w:rPr>
              <w:t>15分）</w:t>
            </w:r>
          </w:p>
        </w:tc>
        <w:tc>
          <w:tcPr>
            <w:tcW w:w="6975" w:type="dxa"/>
            <w:noWrap w:val="0"/>
            <w:vAlign w:val="center"/>
          </w:tcPr>
          <w:p w14:paraId="68D12947">
            <w:pPr>
              <w:widowControl/>
              <w:jc w:val="left"/>
              <w:textAlignment w:val="center"/>
              <w:rPr>
                <w:rStyle w:val="6"/>
                <w:rFonts w:hint="eastAsia" w:ascii="仿宋" w:hAnsi="仿宋" w:eastAsia="仿宋" w:cs="仿宋"/>
                <w:sz w:val="24"/>
                <w:szCs w:val="24"/>
                <w:lang w:bidi="ar"/>
              </w:rPr>
            </w:pPr>
            <w:r>
              <w:rPr>
                <w:rFonts w:hint="eastAsia" w:ascii="仿宋" w:hAnsi="仿宋" w:eastAsia="仿宋" w:cs="仿宋"/>
                <w:color w:val="000000"/>
                <w:kern w:val="0"/>
                <w:sz w:val="24"/>
                <w:szCs w:val="24"/>
                <w:lang w:bidi="ar"/>
              </w:rPr>
              <w:t>包括但不限于指导学生参加临床技能竞赛、创新创业大赛、虚拟仿真创新大赛等各类竞赛，</w:t>
            </w:r>
            <w:r>
              <w:rPr>
                <w:rStyle w:val="6"/>
                <w:rFonts w:hint="eastAsia" w:ascii="仿宋" w:hAnsi="仿宋" w:eastAsia="仿宋" w:cs="仿宋"/>
                <w:sz w:val="24"/>
                <w:szCs w:val="24"/>
                <w:lang w:bidi="ar"/>
              </w:rPr>
              <w:t>担任临床医学</w:t>
            </w:r>
            <w:r>
              <w:rPr>
                <w:rStyle w:val="7"/>
                <w:rFonts w:hint="eastAsia" w:ascii="仿宋" w:hAnsi="仿宋" w:eastAsia="仿宋" w:cs="仿宋"/>
                <w:sz w:val="24"/>
                <w:szCs w:val="24"/>
                <w:lang w:bidi="ar"/>
              </w:rPr>
              <w:t>“5+3”</w:t>
            </w:r>
            <w:r>
              <w:rPr>
                <w:rStyle w:val="6"/>
                <w:rFonts w:hint="eastAsia" w:ascii="仿宋" w:hAnsi="仿宋" w:eastAsia="仿宋" w:cs="仿宋"/>
                <w:sz w:val="24"/>
                <w:szCs w:val="24"/>
                <w:lang w:bidi="ar"/>
              </w:rPr>
              <w:t>一体化专业学生临床导师、</w:t>
            </w:r>
            <w:r>
              <w:rPr>
                <w:rFonts w:hint="eastAsia" w:ascii="仿宋" w:hAnsi="仿宋" w:eastAsia="仿宋" w:cs="仿宋"/>
                <w:color w:val="000000"/>
                <w:kern w:val="0"/>
                <w:sz w:val="24"/>
                <w:szCs w:val="24"/>
                <w:lang w:bidi="ar"/>
              </w:rPr>
              <w:t>指导本科学生获批早期接触科研训练计划项目等与指导学生科研和学科竞赛相关的情况。</w:t>
            </w:r>
          </w:p>
        </w:tc>
        <w:tc>
          <w:tcPr>
            <w:tcW w:w="1230" w:type="dxa"/>
            <w:noWrap w:val="0"/>
            <w:vAlign w:val="center"/>
          </w:tcPr>
          <w:p w14:paraId="517FC443">
            <w:pPr>
              <w:jc w:val="center"/>
              <w:rPr>
                <w:rFonts w:hint="eastAsia" w:ascii="仿宋" w:hAnsi="仿宋" w:eastAsia="仿宋" w:cs="仿宋"/>
                <w:sz w:val="24"/>
                <w:szCs w:val="24"/>
              </w:rPr>
            </w:pPr>
          </w:p>
        </w:tc>
        <w:tc>
          <w:tcPr>
            <w:tcW w:w="1185" w:type="dxa"/>
            <w:noWrap w:val="0"/>
            <w:vAlign w:val="center"/>
          </w:tcPr>
          <w:p w14:paraId="3D740760">
            <w:pPr>
              <w:jc w:val="center"/>
              <w:rPr>
                <w:rFonts w:hint="eastAsia" w:ascii="仿宋" w:hAnsi="仿宋" w:eastAsia="仿宋" w:cs="仿宋"/>
                <w:sz w:val="24"/>
                <w:szCs w:val="24"/>
              </w:rPr>
            </w:pPr>
          </w:p>
        </w:tc>
      </w:tr>
    </w:tbl>
    <w:p w14:paraId="536A33BA">
      <w:pPr>
        <w:widowControl/>
        <w:spacing w:line="240" w:lineRule="auto"/>
        <w:ind w:left="0" w:leftChars="0" w:firstLine="236" w:firstLineChars="100"/>
        <w:jc w:val="left"/>
        <w:rPr>
          <w:rFonts w:hint="eastAsia" w:ascii="仿宋" w:hAnsi="仿宋" w:eastAsia="方正仿宋_GB2312" w:cs="仿宋"/>
          <w:b/>
          <w:bCs/>
          <w:kern w:val="0"/>
          <w:sz w:val="24"/>
          <w:szCs w:val="24"/>
        </w:rPr>
      </w:pPr>
    </w:p>
    <w:p w14:paraId="009CAB00">
      <w:pPr>
        <w:widowControl/>
        <w:ind w:firstLine="236" w:firstLineChars="100"/>
        <w:jc w:val="left"/>
        <w:rPr>
          <w:rFonts w:hint="eastAsia" w:ascii="仿宋" w:hAnsi="仿宋" w:eastAsia="方正仿宋_GB2312" w:cs="仿宋"/>
          <w:b/>
          <w:bCs/>
          <w:kern w:val="0"/>
          <w:sz w:val="24"/>
          <w:szCs w:val="24"/>
        </w:rPr>
      </w:pPr>
      <w:r>
        <w:rPr>
          <w:rFonts w:hint="eastAsia" w:ascii="仿宋" w:hAnsi="仿宋" w:eastAsia="方正仿宋_GB2312" w:cs="仿宋"/>
          <w:b/>
          <w:bCs/>
          <w:kern w:val="0"/>
          <w:sz w:val="24"/>
          <w:szCs w:val="24"/>
        </w:rPr>
        <w:t>注：此表每位教师一份，由教研室审核填写，并留存备案。</w:t>
      </w:r>
    </w:p>
    <w:p w14:paraId="107D686D">
      <w:pPr>
        <w:widowControl/>
        <w:spacing w:line="580" w:lineRule="exact"/>
        <w:ind w:left="549" w:leftChars="133" w:hanging="276" w:hangingChars="100"/>
        <w:jc w:val="left"/>
        <w:rPr>
          <w:rFonts w:hint="eastAsia" w:ascii="仿宋" w:hAnsi="仿宋" w:eastAsia="方正仿宋_GB2312" w:cs="仿宋"/>
          <w:b/>
          <w:bCs/>
          <w:kern w:val="0"/>
          <w:sz w:val="28"/>
          <w:szCs w:val="28"/>
        </w:rPr>
      </w:pPr>
      <w:r>
        <w:rPr>
          <w:rFonts w:hint="eastAsia" w:ascii="仿宋" w:hAnsi="仿宋" w:eastAsia="方正仿宋_GB2312" w:cs="仿宋"/>
          <w:b/>
          <w:bCs/>
          <w:kern w:val="0"/>
          <w:sz w:val="28"/>
          <w:szCs w:val="28"/>
        </w:rPr>
        <w:t xml:space="preserve">教研室负责人签字（公章）：          党支部书记签字：            </w:t>
      </w:r>
    </w:p>
    <w:p w14:paraId="44992FFF">
      <w:pPr>
        <w:widowControl/>
        <w:wordWrap w:val="0"/>
        <w:spacing w:line="580" w:lineRule="exact"/>
        <w:ind w:left="549" w:leftChars="133" w:hanging="276" w:hangingChars="100"/>
        <w:jc w:val="right"/>
        <w:rPr>
          <w:rFonts w:hint="default" w:ascii="仿宋" w:hAnsi="仿宋" w:eastAsia="方正仿宋_GB2312" w:cs="仿宋"/>
          <w:b/>
          <w:bCs/>
          <w:kern w:val="0"/>
          <w:sz w:val="28"/>
          <w:szCs w:val="28"/>
          <w:lang w:val="en-US" w:eastAsia="zh-CN"/>
        </w:rPr>
      </w:pPr>
      <w:r>
        <w:rPr>
          <w:rFonts w:hint="eastAsia" w:ascii="仿宋" w:hAnsi="仿宋" w:eastAsia="方正仿宋_GB2312" w:cs="仿宋"/>
          <w:b/>
          <w:bCs/>
          <w:kern w:val="0"/>
          <w:sz w:val="28"/>
          <w:szCs w:val="28"/>
        </w:rPr>
        <w:t>填表日期：</w:t>
      </w:r>
      <w:r>
        <w:rPr>
          <w:rFonts w:hint="eastAsia" w:ascii="仿宋" w:hAnsi="仿宋" w:eastAsia="方正仿宋_GB2312" w:cs="仿宋"/>
          <w:b/>
          <w:bCs/>
          <w:kern w:val="0"/>
          <w:sz w:val="28"/>
          <w:szCs w:val="28"/>
          <w:lang w:val="en-US" w:eastAsia="zh-CN"/>
        </w:rPr>
        <w:t xml:space="preserve">                </w:t>
      </w:r>
    </w:p>
    <w:p w14:paraId="11F64DFD">
      <w:pPr>
        <w:widowControl/>
        <w:wordWrap w:val="0"/>
        <w:spacing w:line="580" w:lineRule="exact"/>
        <w:jc w:val="both"/>
        <w:rPr>
          <w:rFonts w:hint="eastAsia" w:ascii="方正仿宋_GBK" w:hAnsi="仿宋" w:eastAsia="方正仿宋_GBK" w:cs="Times New Roman"/>
          <w:b/>
          <w:bCs/>
          <w:sz w:val="24"/>
        </w:rPr>
      </w:pPr>
    </w:p>
    <w:sectPr>
      <w:footerReference r:id="rId3" w:type="default"/>
      <w:pgSz w:w="11906" w:h="16838"/>
      <w:pgMar w:top="2098" w:right="1531" w:bottom="1814" w:left="1531" w:header="851" w:footer="992" w:gutter="0"/>
      <w:pgNumType w:fmt="numberInDash"/>
      <w:cols w:space="720" w:num="1"/>
      <w:docGrid w:type="linesAndChars" w:linePitch="312" w:charSpace="-8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C5FCD">
    <w:pPr>
      <w:pStyle w:val="2"/>
      <w:tabs>
        <w:tab w:val="center" w:pos="4153"/>
        <w:tab w:val="right" w:pos="8306"/>
      </w:tabs>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p w14:paraId="742489DF">
    <w:pPr>
      <w:pStyle w:val="2"/>
      <w:tabs>
        <w:tab w:val="center" w:pos="4153"/>
        <w:tab w:val="right" w:pos="8306"/>
      </w:tabs>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AC0FB8"/>
    <w:rsid w:val="06EE2458"/>
    <w:rsid w:val="08874912"/>
    <w:rsid w:val="15BE749A"/>
    <w:rsid w:val="26C50FB4"/>
    <w:rsid w:val="283E016A"/>
    <w:rsid w:val="3A4774A5"/>
    <w:rsid w:val="45AC0FB8"/>
    <w:rsid w:val="59C33791"/>
    <w:rsid w:val="5A7140A7"/>
    <w:rsid w:val="686722C9"/>
    <w:rsid w:val="694110E9"/>
    <w:rsid w:val="76B918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qFormat/>
    <w:uiPriority w:val="0"/>
    <w:pPr>
      <w:widowControl w:val="0"/>
      <w:tabs>
        <w:tab w:val="center" w:pos="4140"/>
        <w:tab w:val="right" w:pos="8300"/>
      </w:tabs>
      <w:snapToGrid w:val="0"/>
      <w:spacing w:after="0"/>
      <w:jc w:val="left"/>
    </w:pPr>
    <w:rPr>
      <w:rFonts w:ascii="Times New Roman" w:hAnsi="Times New Roman" w:eastAsia="宋体" w:cs="Times New Roman"/>
      <w:kern w:val="2"/>
      <w:sz w:val="18"/>
      <w:szCs w:val="18"/>
      <w:lang w:val="en-US" w:eastAsia="zh-CN" w:bidi="ar-SA"/>
    </w:rPr>
  </w:style>
  <w:style w:type="character" w:customStyle="1" w:styleId="5">
    <w:name w:val="font31"/>
    <w:qFormat/>
    <w:uiPriority w:val="0"/>
    <w:rPr>
      <w:rFonts w:hint="eastAsia" w:ascii="宋体" w:hAnsi="宋体" w:eastAsia="宋体" w:cs="宋体"/>
      <w:color w:val="4874CB"/>
      <w:sz w:val="24"/>
      <w:szCs w:val="24"/>
      <w:u w:val="none"/>
    </w:rPr>
  </w:style>
  <w:style w:type="character" w:customStyle="1" w:styleId="6">
    <w:name w:val="font11"/>
    <w:qFormat/>
    <w:uiPriority w:val="0"/>
    <w:rPr>
      <w:rFonts w:hint="eastAsia" w:ascii="宋体" w:hAnsi="宋体" w:eastAsia="宋体" w:cs="宋体"/>
      <w:color w:val="000000"/>
      <w:sz w:val="24"/>
      <w:szCs w:val="24"/>
      <w:u w:val="none"/>
    </w:rPr>
  </w:style>
  <w:style w:type="character" w:customStyle="1" w:styleId="7">
    <w:name w:val="font21"/>
    <w:qFormat/>
    <w:uiPriority w:val="0"/>
    <w:rPr>
      <w:rFonts w:hint="default" w:ascii="Times New Roman" w:hAnsi="Times New Roman" w:eastAsia="宋体" w:cs="Times New Roman"/>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762</Words>
  <Characters>773</Characters>
  <Lines>0</Lines>
  <Paragraphs>0</Paragraphs>
  <TotalTime>1</TotalTime>
  <ScaleCrop>false</ScaleCrop>
  <LinksUpToDate>false</LinksUpToDate>
  <CharactersWithSpaces>846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2026-06-15T07:16:00Z</dcterms:created>
  <dc:creator>steppewolf</dc:creator>
  <cp:lastModifiedBy>steppewolf</cp:lastModifiedBy>
  <dcterms:modified xsi:type="dcterms:W3CDTF">2026-07-10T01:27:54Z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68880AB9919B481FBAE37AE66BE4D414_11</vt:lpwstr>
  </property>
  <property fmtid="{D5CDD505-2E9C-101B-9397-08002B2CF9AE}" pid="4" name="KSOTemplateDocerSaveRecord">
    <vt:lpwstr>eyJoZGlkIjoiZjEwY2M3OTRlZmNhZjUzNjFiNmMwMDlkOThlNjU3YjEiLCJ1c2VySWQiOiIzNDgzNjc5ODMifQ==</vt:lpwstr>
  </property>
</Properties>
</file>