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EC9503">
      <w:pPr>
        <w:spacing w:before="480" w:after="480" w:line="288" w:lineRule="auto"/>
        <w:ind w:left="0"/>
        <w:jc w:val="center"/>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b/>
          <w:sz w:val="36"/>
          <w:szCs w:val="36"/>
        </w:rPr>
        <w:t>消化内镜医师培训项目脱产培训</w:t>
      </w:r>
      <w:bookmarkStart w:id="17" w:name="_GoBack"/>
      <w:bookmarkEnd w:id="17"/>
      <w:r>
        <w:rPr>
          <w:rFonts w:hint="eastAsia" w:asciiTheme="minorEastAsia" w:hAnsiTheme="minorEastAsia" w:eastAsiaTheme="minorEastAsia" w:cstheme="minorEastAsia"/>
          <w:b/>
          <w:sz w:val="36"/>
          <w:szCs w:val="36"/>
        </w:rPr>
        <w:t>通知</w:t>
      </w:r>
    </w:p>
    <w:p w14:paraId="106E2A34">
      <w:pPr>
        <w:spacing w:before="120" w:after="120" w:line="288" w:lineRule="auto"/>
        <w:ind w:left="0"/>
        <w:jc w:val="left"/>
      </w:pPr>
      <w:r>
        <w:rPr>
          <w:rFonts w:ascii="Arial" w:hAnsi="Arial" w:eastAsia="等线" w:cs="Arial"/>
          <w:sz w:val="22"/>
        </w:rPr>
        <w:t>尊敬的各位消化内科同仁：</w:t>
      </w:r>
    </w:p>
    <w:p w14:paraId="411D839C">
      <w:pPr>
        <w:spacing w:before="120" w:after="120" w:line="288" w:lineRule="auto"/>
        <w:ind w:left="0" w:firstLine="440" w:firstLineChars="200"/>
        <w:jc w:val="left"/>
      </w:pPr>
      <w:r>
        <w:rPr>
          <w:rFonts w:ascii="Arial" w:hAnsi="Arial" w:eastAsia="等线" w:cs="Arial"/>
          <w:sz w:val="22"/>
        </w:rPr>
        <w:t>为严格落实《医疗技术临床应用管理办法（2018版）》《国家卫生健康委办公厅关于印发内镜诊疗技术临床应用管理规定及呼吸内镜诊疗技术等13个内镜诊疗技术临床应用管理规范的通知》（国卫办医函〔2019〕870号）要求，进一步规范消化内镜诊疗行为、强化技术临床应用管理、保障医疗质量与安全，海南博鳌县域医疗发展研究中心联合国家卫生健康委人才交流服务中心，共同开展消化内镜医师规范化培训项目。</w:t>
      </w:r>
    </w:p>
    <w:p w14:paraId="0C33B010">
      <w:pPr>
        <w:spacing w:before="120" w:after="120" w:line="288" w:lineRule="auto"/>
        <w:ind w:left="0" w:firstLine="440" w:firstLineChars="200"/>
        <w:jc w:val="left"/>
      </w:pPr>
      <w:r>
        <w:rPr>
          <w:rFonts w:ascii="Arial" w:hAnsi="Arial" w:eastAsia="等线" w:cs="Arial"/>
          <w:sz w:val="22"/>
        </w:rPr>
        <w:t>安徽医科大学第一附属医院内镜中心作为官方指定培训基地，拟于近期举办</w:t>
      </w:r>
      <w:r>
        <w:rPr>
          <w:rFonts w:ascii="Arial" w:hAnsi="Arial" w:eastAsia="等线" w:cs="Arial"/>
          <w:b/>
          <w:sz w:val="22"/>
        </w:rPr>
        <w:t>消化内镜医师培训项目脱产培训班</w:t>
      </w:r>
      <w:r>
        <w:rPr>
          <w:rFonts w:ascii="Arial" w:hAnsi="Arial" w:eastAsia="等线" w:cs="Arial"/>
          <w:sz w:val="22"/>
        </w:rPr>
        <w:t>，现将相关事宜通知如下：</w:t>
      </w:r>
    </w:p>
    <w:p w14:paraId="4F7D9A53">
      <w:pPr>
        <w:pBdr>
          <w:bottom w:val="single" w:color="DEE0E3" w:sz="2" w:space="0"/>
          <w:between w:val="single" w:color="DEE0E3" w:sz="2" w:space="0"/>
        </w:pBdr>
        <w:spacing w:before="120" w:after="120" w:line="288" w:lineRule="auto"/>
        <w:ind w:left="0"/>
      </w:pPr>
    </w:p>
    <w:p w14:paraId="4EC5DF9A">
      <w:pPr>
        <w:spacing w:before="320" w:after="120" w:line="288" w:lineRule="auto"/>
        <w:ind w:left="0"/>
        <w:jc w:val="center"/>
        <w:outlineLvl w:val="1"/>
      </w:pPr>
      <w:bookmarkStart w:id="0" w:name="heading_0"/>
      <w:r>
        <w:rPr>
          <w:rFonts w:ascii="Arial" w:hAnsi="Arial" w:eastAsia="等线" w:cs="Arial"/>
          <w:b/>
          <w:sz w:val="32"/>
        </w:rPr>
        <w:t>培训基地简介</w:t>
      </w:r>
      <w:bookmarkEnd w:id="0"/>
    </w:p>
    <w:p w14:paraId="10DC4CE5">
      <w:pPr>
        <w:spacing w:before="120" w:after="120" w:line="288" w:lineRule="auto"/>
        <w:ind w:left="0" w:firstLine="440" w:firstLineChars="200"/>
        <w:jc w:val="left"/>
      </w:pPr>
      <w:r>
        <w:rPr>
          <w:rFonts w:ascii="Arial" w:hAnsi="Arial" w:eastAsia="等线" w:cs="Arial"/>
          <w:sz w:val="22"/>
        </w:rPr>
        <w:t>安徽医科大学第一附属医院消化内科始建于1989年，现已发展为集医疗、教学、科研于一体，在国内具有较高影响力的现代化消化病专科。科室为</w:t>
      </w:r>
      <w:r>
        <w:rPr>
          <w:rFonts w:ascii="Arial" w:hAnsi="Arial" w:eastAsia="等线" w:cs="Arial"/>
          <w:b/>
          <w:sz w:val="22"/>
        </w:rPr>
        <w:t>国家消化系统疾病临床医学研究中心安徽省分中心</w:t>
      </w:r>
      <w:r>
        <w:rPr>
          <w:rFonts w:ascii="Arial" w:hAnsi="Arial" w:eastAsia="等线" w:cs="Arial"/>
          <w:sz w:val="22"/>
        </w:rPr>
        <w:t>、安徽省重点学科、安徽省临床重点发展学科，拥有内科学博士、硕士学位授权点及博士后流动站。</w:t>
      </w:r>
    </w:p>
    <w:p w14:paraId="6E273F73">
      <w:pPr>
        <w:spacing w:before="120" w:after="120" w:line="288" w:lineRule="auto"/>
        <w:ind w:left="0"/>
        <w:jc w:val="left"/>
      </w:pPr>
      <w:r>
        <w:rPr>
          <w:rFonts w:ascii="Arial" w:hAnsi="Arial" w:eastAsia="等线" w:cs="Arial"/>
          <w:sz w:val="22"/>
        </w:rPr>
        <w:t>科室设5个病区（高新院区消化内科一、二、三病区；绩溪路院区消化内科四病区；南区消化内科五病区），配套3个标准化内镜中心（绩溪路消化内镜中心、高新院区消化内镜中心、南区消化内镜中心）。</w:t>
      </w:r>
    </w:p>
    <w:p w14:paraId="5AC27053">
      <w:pPr>
        <w:spacing w:before="300" w:after="120" w:line="288" w:lineRule="auto"/>
        <w:ind w:left="0"/>
        <w:jc w:val="left"/>
        <w:outlineLvl w:val="2"/>
      </w:pPr>
      <w:bookmarkStart w:id="1" w:name="heading_1"/>
      <w:r>
        <w:rPr>
          <w:rFonts w:ascii="Arial" w:hAnsi="Arial" w:eastAsia="等线" w:cs="Arial"/>
          <w:b/>
          <w:sz w:val="30"/>
        </w:rPr>
        <w:t>核心技术优势</w:t>
      </w:r>
      <w:bookmarkEnd w:id="1"/>
    </w:p>
    <w:p w14:paraId="430211FB">
      <w:pPr>
        <w:spacing w:before="120" w:after="120" w:line="288" w:lineRule="auto"/>
        <w:ind w:left="0"/>
        <w:jc w:val="left"/>
      </w:pPr>
      <w:r>
        <w:rPr>
          <w:rFonts w:ascii="Arial" w:hAnsi="Arial" w:eastAsia="等线" w:cs="Arial"/>
          <w:sz w:val="22"/>
        </w:rPr>
        <w:t>常规开展内镜下止血、息肉切除、ERCP、ESD、EUS‑FNA、POEM、内镜阑尾粪石治疗、食管胃底曲张静脉套扎/硬化栓塞、小肠镜诊疗、消化道异物取出、食管狭窄扩张与支架置入、胃肠动力疾病诊治等技术，四大亚专科特色突出：</w:t>
      </w:r>
    </w:p>
    <w:p w14:paraId="67C1CD01">
      <w:pPr>
        <w:numPr>
          <w:ilvl w:val="0"/>
          <w:numId w:val="1"/>
        </w:numPr>
        <w:spacing w:before="120" w:after="120" w:line="288" w:lineRule="auto"/>
        <w:ind w:left="0"/>
        <w:jc w:val="left"/>
      </w:pPr>
      <w:r>
        <w:rPr>
          <w:rFonts w:ascii="Arial" w:hAnsi="Arial" w:eastAsia="等线" w:cs="Arial"/>
          <w:b/>
          <w:sz w:val="22"/>
        </w:rPr>
        <w:t>早癌精准诊疗</w:t>
      </w:r>
      <w:r>
        <w:rPr>
          <w:rFonts w:ascii="Arial" w:hAnsi="Arial" w:eastAsia="等线" w:cs="Arial"/>
          <w:sz w:val="22"/>
        </w:rPr>
        <w:t>：构建色素内镜、NBI放大内镜、激光共聚焦为核心的早癌精准评估体系，常规开展EMR、ESD、ESE、EFR等术式，年均完成早癌及癌前病变治疗近2000例，筛查与诊疗水平省内领先。</w:t>
      </w:r>
    </w:p>
    <w:p w14:paraId="1652D752">
      <w:pPr>
        <w:numPr>
          <w:ilvl w:val="0"/>
          <w:numId w:val="0"/>
        </w:numPr>
        <w:spacing w:before="120" w:after="120" w:line="288" w:lineRule="auto"/>
        <w:jc w:val="left"/>
        <w:rPr>
          <w:rFonts w:hint="eastAsia" w:eastAsia="等线"/>
          <w:lang w:eastAsia="zh-CN"/>
        </w:rPr>
      </w:pPr>
      <w:r>
        <w:rPr>
          <w:rFonts w:hint="eastAsia" w:eastAsia="等线"/>
          <w:lang w:eastAsia="zh-CN"/>
        </w:rPr>
        <w:drawing>
          <wp:inline distT="0" distB="0" distL="114300" distR="114300">
            <wp:extent cx="5264150" cy="2646680"/>
            <wp:effectExtent l="0" t="0" r="3175" b="1270"/>
            <wp:docPr id="4" name="图片 4" descr="4b3836ec-27b4-41e3-9eb6-81775faeb0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b3836ec-27b4-41e3-9eb6-81775faeb0d7"/>
                    <pic:cNvPicPr>
                      <a:picLocks noChangeAspect="1"/>
                    </pic:cNvPicPr>
                  </pic:nvPicPr>
                  <pic:blipFill>
                    <a:blip r:embed="rId6"/>
                    <a:stretch>
                      <a:fillRect/>
                    </a:stretch>
                  </pic:blipFill>
                  <pic:spPr>
                    <a:xfrm>
                      <a:off x="0" y="0"/>
                      <a:ext cx="5264150" cy="2646680"/>
                    </a:xfrm>
                    <a:prstGeom prst="rect">
                      <a:avLst/>
                    </a:prstGeom>
                  </pic:spPr>
                </pic:pic>
              </a:graphicData>
            </a:graphic>
          </wp:inline>
        </w:drawing>
      </w:r>
    </w:p>
    <w:p w14:paraId="05DE6811">
      <w:pPr>
        <w:numPr>
          <w:ilvl w:val="0"/>
          <w:numId w:val="2"/>
        </w:numPr>
        <w:spacing w:before="120" w:after="120" w:line="288" w:lineRule="auto"/>
        <w:ind w:left="0"/>
        <w:jc w:val="left"/>
      </w:pPr>
      <w:r>
        <w:rPr>
          <w:rFonts w:ascii="Arial" w:hAnsi="Arial" w:eastAsia="等线" w:cs="Arial"/>
          <w:b/>
          <w:sz w:val="22"/>
        </w:rPr>
        <w:t>胆胰疾病诊治</w:t>
      </w:r>
      <w:r>
        <w:rPr>
          <w:rFonts w:ascii="Arial" w:hAnsi="Arial" w:eastAsia="等线" w:cs="Arial"/>
          <w:sz w:val="22"/>
        </w:rPr>
        <w:t>：开展EUS‑FNA、ERCP取石/支架置入、胰管结石体外震波碎石、消化道重建术后小肠镜下ERCP、EUS‑BD/EUS‑PD、EUS‑GE、胰腺假性囊肿引流、腹腔神经节阻滞等技术，年均服务复杂胆胰疾病患者1000余例。</w:t>
      </w:r>
    </w:p>
    <w:p w14:paraId="1D58CD50">
      <w:pPr>
        <w:numPr>
          <w:ilvl w:val="0"/>
          <w:numId w:val="0"/>
        </w:numPr>
        <w:spacing w:before="120" w:after="120" w:line="288" w:lineRule="auto"/>
        <w:jc w:val="left"/>
        <w:rPr>
          <w:rFonts w:hint="eastAsia" w:eastAsia="等线"/>
          <w:lang w:eastAsia="zh-CN"/>
        </w:rPr>
      </w:pPr>
      <w:r>
        <w:rPr>
          <w:rFonts w:hint="eastAsia" w:eastAsia="等线"/>
          <w:lang w:eastAsia="zh-CN"/>
        </w:rPr>
        <w:drawing>
          <wp:inline distT="0" distB="0" distL="114300" distR="114300">
            <wp:extent cx="5272405" cy="2964815"/>
            <wp:effectExtent l="0" t="0" r="4445" b="6985"/>
            <wp:docPr id="3" name="图片 3" descr="e031fcb1-0879-4fde-8fee-51971f355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031fcb1-0879-4fde-8fee-51971f355e82"/>
                    <pic:cNvPicPr>
                      <a:picLocks noChangeAspect="1"/>
                    </pic:cNvPicPr>
                  </pic:nvPicPr>
                  <pic:blipFill>
                    <a:blip r:embed="rId7"/>
                    <a:stretch>
                      <a:fillRect/>
                    </a:stretch>
                  </pic:blipFill>
                  <pic:spPr>
                    <a:xfrm>
                      <a:off x="0" y="0"/>
                      <a:ext cx="5272405" cy="2964815"/>
                    </a:xfrm>
                    <a:prstGeom prst="rect">
                      <a:avLst/>
                    </a:prstGeom>
                  </pic:spPr>
                </pic:pic>
              </a:graphicData>
            </a:graphic>
          </wp:inline>
        </w:drawing>
      </w:r>
    </w:p>
    <w:p w14:paraId="254725FB">
      <w:pPr>
        <w:numPr>
          <w:ilvl w:val="0"/>
          <w:numId w:val="3"/>
        </w:numPr>
        <w:spacing w:before="120" w:after="120" w:line="288" w:lineRule="auto"/>
        <w:ind w:left="0"/>
        <w:jc w:val="left"/>
      </w:pPr>
      <w:r>
        <w:rPr>
          <w:rFonts w:ascii="Arial" w:hAnsi="Arial" w:eastAsia="等线" w:cs="Arial"/>
          <w:b/>
          <w:sz w:val="22"/>
        </w:rPr>
        <w:t>肝硬化及门脉高压内镜治疗</w:t>
      </w:r>
      <w:r>
        <w:rPr>
          <w:rFonts w:ascii="Arial" w:hAnsi="Arial" w:eastAsia="等线" w:cs="Arial"/>
          <w:sz w:val="22"/>
        </w:rPr>
        <w:t>：安徽省食管胃底静脉曲张诊治学组组长单位，年均完成内镜下套扎/硬化治疗600余例，创新开展超声内镜引导下弹簧圈植入等技术，研究成果发表于Endoscopy等国际顶刊。</w:t>
      </w:r>
    </w:p>
    <w:p w14:paraId="69EF519A">
      <w:pPr>
        <w:numPr>
          <w:ilvl w:val="0"/>
          <w:numId w:val="0"/>
        </w:numPr>
        <w:spacing w:before="120" w:after="120" w:line="288" w:lineRule="auto"/>
        <w:jc w:val="left"/>
        <w:rPr>
          <w:rFonts w:hint="eastAsia" w:eastAsia="等线"/>
          <w:lang w:eastAsia="zh-CN"/>
        </w:rPr>
      </w:pPr>
      <w:r>
        <w:rPr>
          <w:rFonts w:hint="eastAsia" w:eastAsia="等线"/>
          <w:lang w:eastAsia="zh-CN"/>
        </w:rPr>
        <w:drawing>
          <wp:inline distT="0" distB="0" distL="114300" distR="114300">
            <wp:extent cx="5266690" cy="3010535"/>
            <wp:effectExtent l="0" t="0" r="635" b="8890"/>
            <wp:docPr id="5" name="图片 5" descr="706b8d50-6dcf-4107-913a-0177afc1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06b8d50-6dcf-4107-913a-0177afc19330"/>
                    <pic:cNvPicPr>
                      <a:picLocks noChangeAspect="1"/>
                    </pic:cNvPicPr>
                  </pic:nvPicPr>
                  <pic:blipFill>
                    <a:blip r:embed="rId8"/>
                    <a:stretch>
                      <a:fillRect/>
                    </a:stretch>
                  </pic:blipFill>
                  <pic:spPr>
                    <a:xfrm>
                      <a:off x="0" y="0"/>
                      <a:ext cx="5266690" cy="3010535"/>
                    </a:xfrm>
                    <a:prstGeom prst="rect">
                      <a:avLst/>
                    </a:prstGeom>
                  </pic:spPr>
                </pic:pic>
              </a:graphicData>
            </a:graphic>
          </wp:inline>
        </w:drawing>
      </w:r>
    </w:p>
    <w:p w14:paraId="15E638A0">
      <w:pPr>
        <w:numPr>
          <w:ilvl w:val="0"/>
          <w:numId w:val="4"/>
        </w:numPr>
        <w:spacing w:before="120" w:after="120" w:line="288" w:lineRule="auto"/>
        <w:ind w:left="0"/>
        <w:jc w:val="left"/>
      </w:pPr>
      <w:r>
        <w:rPr>
          <w:rFonts w:ascii="Arial" w:hAnsi="Arial" w:eastAsia="等线" w:cs="Arial"/>
          <w:b/>
          <w:sz w:val="22"/>
        </w:rPr>
        <w:t>炎症性肠病及小肠疾病诊治</w:t>
      </w:r>
      <w:r>
        <w:rPr>
          <w:rFonts w:ascii="Arial" w:hAnsi="Arial" w:eastAsia="等线" w:cs="Arial"/>
          <w:sz w:val="22"/>
        </w:rPr>
        <w:t>：全国IBD区域性诊疗中心、安徽省IBD学组组长单位，牵头组建安徽省IBD专病联盟，年均诊治IBD患者3000余例，开展小肠镜下治疗、肠道超声精准评估、生物制剂优化治疗等先进技术。</w:t>
      </w:r>
    </w:p>
    <w:p w14:paraId="79009318">
      <w:pPr>
        <w:numPr>
          <w:ilvl w:val="0"/>
          <w:numId w:val="0"/>
        </w:numPr>
        <w:spacing w:before="120" w:after="120" w:line="288" w:lineRule="auto"/>
        <w:jc w:val="left"/>
        <w:rPr>
          <w:rFonts w:hint="eastAsia" w:eastAsia="等线"/>
          <w:lang w:eastAsia="zh-CN"/>
        </w:rPr>
      </w:pPr>
      <w:r>
        <w:rPr>
          <w:rFonts w:hint="eastAsia" w:eastAsia="等线"/>
          <w:lang w:eastAsia="zh-CN"/>
        </w:rPr>
        <w:drawing>
          <wp:inline distT="0" distB="0" distL="114300" distR="114300">
            <wp:extent cx="5266690" cy="2896235"/>
            <wp:effectExtent l="0" t="0" r="635" b="8890"/>
            <wp:docPr id="2" name="图片 2" descr="c8f3d92c-2a80-46ef-8af3-a49aeb9f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8f3d92c-2a80-46ef-8af3-a49aeb9f6104"/>
                    <pic:cNvPicPr>
                      <a:picLocks noChangeAspect="1"/>
                    </pic:cNvPicPr>
                  </pic:nvPicPr>
                  <pic:blipFill>
                    <a:blip r:embed="rId9"/>
                    <a:stretch>
                      <a:fillRect/>
                    </a:stretch>
                  </pic:blipFill>
                  <pic:spPr>
                    <a:xfrm>
                      <a:off x="0" y="0"/>
                      <a:ext cx="5266690" cy="2896235"/>
                    </a:xfrm>
                    <a:prstGeom prst="rect">
                      <a:avLst/>
                    </a:prstGeom>
                  </pic:spPr>
                </pic:pic>
              </a:graphicData>
            </a:graphic>
          </wp:inline>
        </w:drawing>
      </w:r>
    </w:p>
    <w:p w14:paraId="23D0A2F6">
      <w:pPr>
        <w:pBdr>
          <w:bottom w:val="single" w:color="DEE0E3" w:sz="2" w:space="0"/>
          <w:between w:val="single" w:color="DEE0E3" w:sz="2" w:space="0"/>
        </w:pBdr>
        <w:spacing w:before="120" w:after="120" w:line="288" w:lineRule="auto"/>
        <w:ind w:left="0"/>
      </w:pPr>
    </w:p>
    <w:p w14:paraId="0B1E4438">
      <w:pPr>
        <w:spacing w:before="320" w:after="120" w:line="288" w:lineRule="auto"/>
        <w:ind w:left="0"/>
        <w:jc w:val="center"/>
        <w:outlineLvl w:val="1"/>
      </w:pPr>
      <w:bookmarkStart w:id="2" w:name="heading_2"/>
      <w:r>
        <w:rPr>
          <w:rFonts w:ascii="Arial" w:hAnsi="Arial" w:eastAsia="等线" w:cs="Arial"/>
          <w:b/>
          <w:sz w:val="32"/>
        </w:rPr>
        <w:t>培训核心信息</w:t>
      </w:r>
      <w:bookmarkEnd w:id="2"/>
    </w:p>
    <w:p w14:paraId="0DABA5BB">
      <w:pPr>
        <w:spacing w:before="300" w:after="120" w:line="288" w:lineRule="auto"/>
        <w:ind w:left="0"/>
        <w:jc w:val="left"/>
        <w:outlineLvl w:val="2"/>
      </w:pPr>
      <w:bookmarkStart w:id="3" w:name="heading_3"/>
      <w:r>
        <w:rPr>
          <w:rFonts w:ascii="Arial" w:hAnsi="Arial" w:eastAsia="等线" w:cs="Arial"/>
          <w:b/>
          <w:sz w:val="30"/>
        </w:rPr>
        <w:t>一、培训内容</w:t>
      </w:r>
      <w:bookmarkEnd w:id="3"/>
    </w:p>
    <w:p w14:paraId="0995E141">
      <w:pPr>
        <w:spacing w:before="120" w:after="120" w:line="288" w:lineRule="auto"/>
        <w:ind w:left="0"/>
        <w:jc w:val="left"/>
      </w:pPr>
      <w:r>
        <w:rPr>
          <w:rFonts w:ascii="Arial" w:hAnsi="Arial" w:eastAsia="等线" w:cs="Arial"/>
          <w:sz w:val="22"/>
        </w:rPr>
        <w:t>覆盖《消化内镜诊疗技术临床应用管理规范（2019年版）》中</w:t>
      </w:r>
      <w:r>
        <w:rPr>
          <w:rFonts w:ascii="Arial" w:hAnsi="Arial" w:eastAsia="等线" w:cs="Arial"/>
          <w:b/>
          <w:sz w:val="22"/>
        </w:rPr>
        <w:t>三级及部分四级消化内镜诊疗技术</w:t>
      </w:r>
      <w:r>
        <w:rPr>
          <w:rFonts w:ascii="Arial" w:hAnsi="Arial" w:eastAsia="等线" w:cs="Arial"/>
          <w:sz w:val="22"/>
        </w:rPr>
        <w:t>，配套病理与影像学识别、患者全流程管理等课程。</w:t>
      </w:r>
    </w:p>
    <w:p w14:paraId="19301C0F">
      <w:pPr>
        <w:spacing w:before="300" w:after="120" w:line="288" w:lineRule="auto"/>
        <w:ind w:left="0"/>
        <w:jc w:val="left"/>
        <w:outlineLvl w:val="2"/>
      </w:pPr>
      <w:bookmarkStart w:id="4" w:name="heading_4"/>
      <w:r>
        <w:rPr>
          <w:rFonts w:ascii="Arial" w:hAnsi="Arial" w:eastAsia="等线" w:cs="Arial"/>
          <w:b/>
          <w:sz w:val="30"/>
        </w:rPr>
        <w:t>二、培训方式</w:t>
      </w:r>
      <w:bookmarkEnd w:id="4"/>
    </w:p>
    <w:p w14:paraId="002FC2FE">
      <w:pPr>
        <w:spacing w:before="120" w:after="120" w:line="288" w:lineRule="auto"/>
        <w:ind w:left="0"/>
        <w:jc w:val="left"/>
      </w:pPr>
      <w:r>
        <w:rPr>
          <w:rFonts w:ascii="Arial" w:hAnsi="Arial" w:eastAsia="等线" w:cs="Arial"/>
          <w:sz w:val="22"/>
        </w:rPr>
        <w:t>全脱产培训，采用</w:t>
      </w:r>
      <w:r>
        <w:rPr>
          <w:rFonts w:ascii="Arial" w:hAnsi="Arial" w:eastAsia="等线" w:cs="Arial"/>
          <w:b/>
          <w:sz w:val="22"/>
        </w:rPr>
        <w:t>理论授课+临床实操+动物/模型模拟+患者全程管理</w:t>
      </w:r>
      <w:r>
        <w:rPr>
          <w:rFonts w:ascii="Arial" w:hAnsi="Arial" w:eastAsia="等线" w:cs="Arial"/>
          <w:sz w:val="22"/>
        </w:rPr>
        <w:t>相结合模式。</w:t>
      </w:r>
    </w:p>
    <w:p w14:paraId="5BD84608">
      <w:pPr>
        <w:spacing w:before="300" w:after="120" w:line="288" w:lineRule="auto"/>
        <w:ind w:left="0"/>
        <w:jc w:val="left"/>
        <w:outlineLvl w:val="2"/>
      </w:pPr>
      <w:bookmarkStart w:id="5" w:name="heading_5"/>
      <w:r>
        <w:rPr>
          <w:rFonts w:ascii="Arial" w:hAnsi="Arial" w:eastAsia="等线" w:cs="Arial"/>
          <w:b/>
          <w:sz w:val="30"/>
        </w:rPr>
        <w:t>三、培训对象</w:t>
      </w:r>
      <w:bookmarkEnd w:id="5"/>
    </w:p>
    <w:p w14:paraId="7E0F069C">
      <w:pPr>
        <w:spacing w:before="120" w:after="120" w:line="288" w:lineRule="auto"/>
        <w:ind w:left="0"/>
        <w:jc w:val="left"/>
      </w:pPr>
      <w:r>
        <w:rPr>
          <w:rFonts w:ascii="Arial" w:hAnsi="Arial" w:eastAsia="等线" w:cs="Arial"/>
          <w:sz w:val="22"/>
        </w:rPr>
        <w:t>取得</w:t>
      </w:r>
      <w:r>
        <w:rPr>
          <w:rFonts w:ascii="Arial" w:hAnsi="Arial" w:eastAsia="等线" w:cs="Arial"/>
          <w:b/>
          <w:sz w:val="22"/>
        </w:rPr>
        <w:t>主治医师资格≥3年</w:t>
      </w:r>
      <w:r>
        <w:rPr>
          <w:rFonts w:ascii="Arial" w:hAnsi="Arial" w:eastAsia="等线" w:cs="Arial"/>
          <w:sz w:val="22"/>
        </w:rPr>
        <w:t>，且拥有</w:t>
      </w:r>
      <w:r>
        <w:rPr>
          <w:rFonts w:ascii="Arial" w:hAnsi="Arial" w:eastAsia="等线" w:cs="Arial"/>
          <w:b/>
          <w:sz w:val="22"/>
        </w:rPr>
        <w:t>5年及以上消化科临床诊疗工作经验</w:t>
      </w:r>
      <w:r>
        <w:rPr>
          <w:rFonts w:ascii="Arial" w:hAnsi="Arial" w:eastAsia="等线" w:cs="Arial"/>
          <w:sz w:val="22"/>
        </w:rPr>
        <w:t>的医师。</w:t>
      </w:r>
    </w:p>
    <w:p w14:paraId="78CB5D68">
      <w:pPr>
        <w:spacing w:before="300" w:after="120" w:line="288" w:lineRule="auto"/>
        <w:ind w:left="0"/>
        <w:jc w:val="left"/>
        <w:outlineLvl w:val="2"/>
      </w:pPr>
      <w:bookmarkStart w:id="6" w:name="heading_6"/>
      <w:r>
        <w:rPr>
          <w:rFonts w:ascii="Arial" w:hAnsi="Arial" w:eastAsia="等线" w:cs="Arial"/>
          <w:b/>
          <w:sz w:val="30"/>
        </w:rPr>
        <w:t>四、时间安排</w:t>
      </w:r>
      <w:bookmarkEnd w:id="6"/>
    </w:p>
    <w:p w14:paraId="6F8F6418">
      <w:pPr>
        <w:numPr>
          <w:ilvl w:val="0"/>
          <w:numId w:val="5"/>
        </w:numPr>
        <w:spacing w:before="120" w:after="120" w:line="288" w:lineRule="auto"/>
        <w:ind w:left="0"/>
        <w:jc w:val="left"/>
      </w:pPr>
      <w:r>
        <w:rPr>
          <w:rFonts w:ascii="Arial" w:hAnsi="Arial" w:eastAsia="等线" w:cs="Arial"/>
          <w:sz w:val="22"/>
        </w:rPr>
        <w:t>报名时间：2026年4月（暂定，以官方正式通知为准）</w:t>
      </w:r>
    </w:p>
    <w:p w14:paraId="4D67BB91">
      <w:pPr>
        <w:numPr>
          <w:ilvl w:val="0"/>
          <w:numId w:val="6"/>
        </w:numPr>
        <w:spacing w:before="120" w:after="120" w:line="288" w:lineRule="auto"/>
        <w:ind w:left="0"/>
        <w:jc w:val="left"/>
      </w:pPr>
      <w:r>
        <w:rPr>
          <w:rFonts w:ascii="Arial" w:hAnsi="Arial" w:eastAsia="等线" w:cs="Arial"/>
          <w:sz w:val="22"/>
        </w:rPr>
        <w:t>培训时间：2026年6月—2026年11月（暂定，以官方正式通知为准）</w:t>
      </w:r>
    </w:p>
    <w:p w14:paraId="24A03AF6">
      <w:pPr>
        <w:spacing w:before="300" w:after="120" w:line="288" w:lineRule="auto"/>
        <w:ind w:left="0"/>
        <w:jc w:val="left"/>
        <w:outlineLvl w:val="2"/>
      </w:pPr>
      <w:bookmarkStart w:id="7" w:name="heading_7"/>
      <w:r>
        <w:rPr>
          <w:rFonts w:ascii="Arial" w:hAnsi="Arial" w:eastAsia="等线" w:cs="Arial"/>
          <w:b/>
          <w:sz w:val="30"/>
        </w:rPr>
        <w:t>五、培训地点</w:t>
      </w:r>
      <w:bookmarkEnd w:id="7"/>
    </w:p>
    <w:p w14:paraId="274057B2">
      <w:pPr>
        <w:spacing w:before="120" w:after="120" w:line="288" w:lineRule="auto"/>
        <w:ind w:left="0"/>
        <w:jc w:val="left"/>
      </w:pPr>
      <w:r>
        <w:rPr>
          <w:rFonts w:ascii="Arial" w:hAnsi="Arial" w:eastAsia="等线" w:cs="Arial"/>
          <w:sz w:val="22"/>
        </w:rPr>
        <w:t>安徽医科大学第一附属医院</w:t>
      </w:r>
      <w:r>
        <w:rPr>
          <w:rFonts w:ascii="Arial" w:hAnsi="Arial" w:eastAsia="等线" w:cs="Arial"/>
          <w:b/>
          <w:sz w:val="22"/>
        </w:rPr>
        <w:t>高新院区消化内镜中心</w:t>
      </w:r>
    </w:p>
    <w:p w14:paraId="4B5384BE">
      <w:pPr>
        <w:pBdr>
          <w:bottom w:val="single" w:color="DEE0E3" w:sz="2" w:space="0"/>
          <w:between w:val="single" w:color="DEE0E3" w:sz="2" w:space="0"/>
        </w:pBdr>
        <w:spacing w:before="120" w:after="120" w:line="288" w:lineRule="auto"/>
        <w:ind w:left="0"/>
      </w:pPr>
    </w:p>
    <w:p w14:paraId="26566649">
      <w:pPr>
        <w:spacing w:before="320" w:after="120" w:line="288" w:lineRule="auto"/>
        <w:ind w:left="0"/>
        <w:jc w:val="left"/>
        <w:outlineLvl w:val="1"/>
      </w:pPr>
      <w:bookmarkStart w:id="8" w:name="heading_8"/>
      <w:r>
        <w:rPr>
          <w:rFonts w:ascii="Arial" w:hAnsi="Arial" w:eastAsia="等线" w:cs="Arial"/>
          <w:b/>
          <w:sz w:val="32"/>
        </w:rPr>
        <w:t>培训考核与证书</w:t>
      </w:r>
      <w:bookmarkEnd w:id="8"/>
    </w:p>
    <w:p w14:paraId="3CF745A6">
      <w:pPr>
        <w:spacing w:before="300" w:after="120" w:line="288" w:lineRule="auto"/>
        <w:ind w:left="0"/>
        <w:jc w:val="left"/>
        <w:outlineLvl w:val="2"/>
      </w:pPr>
      <w:bookmarkStart w:id="9" w:name="heading_9"/>
      <w:r>
        <w:rPr>
          <w:rFonts w:ascii="Arial" w:hAnsi="Arial" w:eastAsia="等线" w:cs="Arial"/>
          <w:b/>
          <w:sz w:val="30"/>
        </w:rPr>
        <w:t>考核方式</w:t>
      </w:r>
      <w:bookmarkEnd w:id="9"/>
    </w:p>
    <w:p w14:paraId="600E495D">
      <w:pPr>
        <w:numPr>
          <w:ilvl w:val="0"/>
          <w:numId w:val="7"/>
        </w:numPr>
        <w:spacing w:before="120" w:after="120" w:line="288" w:lineRule="auto"/>
        <w:ind w:left="0"/>
        <w:jc w:val="left"/>
      </w:pPr>
      <w:r>
        <w:rPr>
          <w:rFonts w:ascii="Arial" w:hAnsi="Arial" w:eastAsia="等线" w:cs="Arial"/>
          <w:b/>
          <w:sz w:val="22"/>
        </w:rPr>
        <w:t>中期测评</w:t>
      </w:r>
      <w:r>
        <w:rPr>
          <w:rFonts w:ascii="Arial" w:hAnsi="Arial" w:eastAsia="等线" w:cs="Arial"/>
          <w:sz w:val="22"/>
        </w:rPr>
        <w:t>：培训中期由基地统一组织，结果录入培训管理系统。</w:t>
      </w:r>
    </w:p>
    <w:p w14:paraId="406C1825">
      <w:pPr>
        <w:numPr>
          <w:ilvl w:val="0"/>
          <w:numId w:val="8"/>
        </w:numPr>
        <w:spacing w:before="120" w:after="120" w:line="288" w:lineRule="auto"/>
        <w:ind w:left="0"/>
        <w:jc w:val="left"/>
      </w:pPr>
      <w:r>
        <w:rPr>
          <w:rFonts w:ascii="Arial" w:hAnsi="Arial" w:eastAsia="等线" w:cs="Arial"/>
          <w:b/>
          <w:sz w:val="22"/>
        </w:rPr>
        <w:t>末期测评</w:t>
      </w:r>
      <w:r>
        <w:rPr>
          <w:rFonts w:ascii="Arial" w:hAnsi="Arial" w:eastAsia="等线" w:cs="Arial"/>
          <w:sz w:val="22"/>
        </w:rPr>
        <w:t>：培训最后1个月，经带教老师同意后参加；需提交手术录像，由专家委员会评审。</w:t>
      </w:r>
    </w:p>
    <w:p w14:paraId="3E452A43">
      <w:pPr>
        <w:spacing w:before="300" w:after="120" w:line="288" w:lineRule="auto"/>
        <w:ind w:left="0"/>
        <w:jc w:val="left"/>
        <w:outlineLvl w:val="2"/>
      </w:pPr>
      <w:bookmarkStart w:id="10" w:name="heading_10"/>
      <w:r>
        <w:rPr>
          <w:rFonts w:ascii="Arial" w:hAnsi="Arial" w:eastAsia="等线" w:cs="Arial"/>
          <w:b/>
          <w:sz w:val="30"/>
        </w:rPr>
        <w:t>证书发放</w:t>
      </w:r>
      <w:bookmarkEnd w:id="10"/>
    </w:p>
    <w:p w14:paraId="5C6E6946">
      <w:pPr>
        <w:spacing w:before="120" w:after="120" w:line="288" w:lineRule="auto"/>
        <w:ind w:left="0"/>
        <w:jc w:val="left"/>
      </w:pPr>
      <w:r>
        <w:rPr>
          <w:rFonts w:ascii="Arial" w:hAnsi="Arial" w:eastAsia="等线" w:cs="Arial"/>
          <w:sz w:val="22"/>
        </w:rPr>
        <w:t>考核合格者，由</w:t>
      </w:r>
      <w:r>
        <w:rPr>
          <w:rFonts w:ascii="Arial" w:hAnsi="Arial" w:eastAsia="等线" w:cs="Arial"/>
          <w:b/>
          <w:sz w:val="22"/>
        </w:rPr>
        <w:t>国家卫生健康委人才交流服务中心、海南博鳌县域医疗发展研究中心、安徽医科大学第一附属医院消化内镜中心</w:t>
      </w:r>
      <w:r>
        <w:rPr>
          <w:rFonts w:ascii="Arial" w:hAnsi="Arial" w:eastAsia="等线" w:cs="Arial"/>
          <w:sz w:val="22"/>
        </w:rPr>
        <w:t>联合颁发培训证书。</w:t>
      </w:r>
    </w:p>
    <w:p w14:paraId="04592761">
      <w:pPr>
        <w:spacing w:before="120" w:after="120" w:line="288" w:lineRule="auto"/>
        <w:ind w:left="0"/>
        <w:jc w:val="left"/>
      </w:pPr>
      <w:r>
        <w:rPr>
          <w:rFonts w:ascii="Arial" w:hAnsi="Arial" w:eastAsia="等线" w:cs="Arial"/>
          <w:sz w:val="22"/>
        </w:rPr>
        <w:t>⚠️ 注：本证书为培训合格证明，</w:t>
      </w:r>
      <w:r>
        <w:rPr>
          <w:rFonts w:ascii="Arial" w:hAnsi="Arial" w:eastAsia="等线" w:cs="Arial"/>
          <w:b/>
          <w:sz w:val="22"/>
        </w:rPr>
        <w:t>不作为独立开展消化内镜技术的执业依据</w:t>
      </w:r>
      <w:r>
        <w:rPr>
          <w:rFonts w:ascii="Arial" w:hAnsi="Arial" w:eastAsia="等线" w:cs="Arial"/>
          <w:sz w:val="22"/>
        </w:rPr>
        <w:t>，医师执业资格与技术准入由所在单位按规定规范管理。</w:t>
      </w:r>
    </w:p>
    <w:p w14:paraId="26A38E91">
      <w:pPr>
        <w:pBdr>
          <w:bottom w:val="single" w:color="DEE0E3" w:sz="2" w:space="0"/>
          <w:between w:val="single" w:color="DEE0E3" w:sz="2" w:space="0"/>
        </w:pBdr>
        <w:spacing w:before="120" w:after="120" w:line="288" w:lineRule="auto"/>
        <w:ind w:left="0"/>
      </w:pPr>
    </w:p>
    <w:p w14:paraId="648BEA44">
      <w:pPr>
        <w:spacing w:before="320" w:after="120" w:line="288" w:lineRule="auto"/>
        <w:ind w:left="0"/>
        <w:jc w:val="left"/>
        <w:outlineLvl w:val="1"/>
      </w:pPr>
      <w:bookmarkStart w:id="11" w:name="heading_11"/>
      <w:r>
        <w:rPr>
          <w:rFonts w:ascii="Arial" w:hAnsi="Arial" w:eastAsia="等线" w:cs="Arial"/>
          <w:b/>
          <w:sz w:val="32"/>
        </w:rPr>
        <w:t>报名与联系方式</w:t>
      </w:r>
      <w:bookmarkEnd w:id="11"/>
    </w:p>
    <w:p w14:paraId="092D95CB">
      <w:pPr>
        <w:spacing w:before="300" w:after="120" w:line="288" w:lineRule="auto"/>
        <w:ind w:left="0"/>
        <w:jc w:val="left"/>
        <w:outlineLvl w:val="2"/>
      </w:pPr>
      <w:bookmarkStart w:id="12" w:name="heading_12"/>
      <w:r>
        <w:rPr>
          <w:rFonts w:ascii="Arial" w:hAnsi="Arial" w:eastAsia="等线" w:cs="Arial"/>
          <w:b/>
          <w:sz w:val="30"/>
        </w:rPr>
        <w:t>报名方式</w:t>
      </w:r>
      <w:bookmarkEnd w:id="12"/>
    </w:p>
    <w:p w14:paraId="1D15F848">
      <w:pPr>
        <w:numPr>
          <w:ilvl w:val="0"/>
          <w:numId w:val="9"/>
        </w:numPr>
        <w:spacing w:before="120" w:after="120" w:line="288" w:lineRule="auto"/>
        <w:ind w:left="0"/>
        <w:jc w:val="left"/>
      </w:pPr>
      <w:r>
        <w:rPr>
          <w:rFonts w:ascii="Arial" w:hAnsi="Arial" w:eastAsia="等线" w:cs="Arial"/>
          <w:sz w:val="22"/>
        </w:rPr>
        <w:t>登录内镜医师培训项目管理系统：</w:t>
      </w:r>
      <w:r>
        <w:fldChar w:fldCharType="begin"/>
      </w:r>
      <w:r>
        <w:instrText xml:space="preserve"> HYPERLINK "https://njpx.bjggty.com/njpx/pre/plogin.jsp" \h </w:instrText>
      </w:r>
      <w:r>
        <w:fldChar w:fldCharType="separate"/>
      </w:r>
      <w:r>
        <w:rPr>
          <w:rFonts w:ascii="Arial" w:hAnsi="Arial" w:eastAsia="等线" w:cs="Arial"/>
          <w:color w:val="3370FF"/>
          <w:sz w:val="22"/>
        </w:rPr>
        <w:t>https://njpx.bjggty.com/njpx/pre/plogin.jsp</w:t>
      </w:r>
      <w:r>
        <w:rPr>
          <w:rFonts w:ascii="Arial" w:hAnsi="Arial" w:eastAsia="等线" w:cs="Arial"/>
          <w:color w:val="3370FF"/>
          <w:sz w:val="22"/>
        </w:rPr>
        <w:fldChar w:fldCharType="end"/>
      </w:r>
    </w:p>
    <w:p w14:paraId="3137A30B">
      <w:pPr>
        <w:numPr>
          <w:ilvl w:val="0"/>
          <w:numId w:val="10"/>
        </w:numPr>
        <w:spacing w:before="120" w:after="120" w:line="288" w:lineRule="auto"/>
        <w:ind w:left="0"/>
        <w:jc w:val="left"/>
      </w:pPr>
      <w:r>
        <w:rPr>
          <w:rFonts w:ascii="Arial" w:hAnsi="Arial" w:eastAsia="等线" w:cs="Arial"/>
          <w:sz w:val="22"/>
        </w:rPr>
        <w:t>下载培训推荐表，加盖单位公章后扫描上传至系统</w:t>
      </w:r>
    </w:p>
    <w:p w14:paraId="0CCE094B">
      <w:pPr>
        <w:numPr>
          <w:ilvl w:val="0"/>
          <w:numId w:val="11"/>
        </w:numPr>
        <w:spacing w:before="120" w:after="120" w:line="288" w:lineRule="auto"/>
        <w:ind w:left="0"/>
        <w:jc w:val="left"/>
      </w:pPr>
      <w:r>
        <w:rPr>
          <w:rFonts w:ascii="Arial" w:hAnsi="Arial" w:eastAsia="等线" w:cs="Arial"/>
          <w:sz w:val="22"/>
        </w:rPr>
        <w:t>报名截止后关注系统录取结果</w:t>
      </w:r>
    </w:p>
    <w:p w14:paraId="0E2CD06F">
      <w:pPr>
        <w:spacing w:before="300" w:after="120" w:line="288" w:lineRule="auto"/>
        <w:ind w:left="0"/>
        <w:jc w:val="left"/>
        <w:outlineLvl w:val="2"/>
      </w:pPr>
      <w:bookmarkStart w:id="13" w:name="heading_13"/>
      <w:r>
        <w:rPr>
          <w:rFonts w:ascii="Arial" w:hAnsi="Arial" w:eastAsia="等线" w:cs="Arial"/>
          <w:b/>
          <w:sz w:val="30"/>
        </w:rPr>
        <w:t>进修证书申请</w:t>
      </w:r>
      <w:bookmarkEnd w:id="13"/>
    </w:p>
    <w:p w14:paraId="5C394F96">
      <w:pPr>
        <w:spacing w:before="120" w:after="120" w:line="288" w:lineRule="auto"/>
        <w:ind w:left="0"/>
        <w:jc w:val="left"/>
      </w:pPr>
      <w:r>
        <w:rPr>
          <w:rFonts w:ascii="Arial" w:hAnsi="Arial" w:eastAsia="等线" w:cs="Arial"/>
          <w:sz w:val="22"/>
        </w:rPr>
        <w:t>录取成功后可同步申请进修学习证书，登录医院官网按流程办理：</w:t>
      </w:r>
      <w:r>
        <w:fldChar w:fldCharType="begin"/>
      </w:r>
      <w:r>
        <w:instrText xml:space="preserve"> HYPERLINK "https://www.ayfy.com/info/1423/25100.htm" \h </w:instrText>
      </w:r>
      <w:r>
        <w:fldChar w:fldCharType="separate"/>
      </w:r>
      <w:r>
        <w:rPr>
          <w:rFonts w:ascii="Arial" w:hAnsi="Arial" w:eastAsia="等线" w:cs="Arial"/>
          <w:color w:val="3370FF"/>
          <w:sz w:val="22"/>
        </w:rPr>
        <w:t>https://www.ayfy.com/info/1423/25100.htm</w:t>
      </w:r>
      <w:r>
        <w:rPr>
          <w:rFonts w:ascii="Arial" w:hAnsi="Arial" w:eastAsia="等线" w:cs="Arial"/>
          <w:color w:val="3370FF"/>
          <w:sz w:val="22"/>
        </w:rPr>
        <w:fldChar w:fldCharType="end"/>
      </w:r>
    </w:p>
    <w:p w14:paraId="7C710230">
      <w:pPr>
        <w:spacing w:before="300" w:after="120" w:line="288" w:lineRule="auto"/>
        <w:ind w:left="0"/>
        <w:jc w:val="left"/>
        <w:outlineLvl w:val="2"/>
      </w:pPr>
      <w:bookmarkStart w:id="14" w:name="heading_14"/>
      <w:r>
        <w:rPr>
          <w:rFonts w:ascii="Arial" w:hAnsi="Arial" w:eastAsia="等线" w:cs="Arial"/>
          <w:b/>
          <w:sz w:val="30"/>
        </w:rPr>
        <w:t>联系方式</w:t>
      </w:r>
      <w:bookmarkEnd w:id="14"/>
    </w:p>
    <w:p w14:paraId="5FF2BF05">
      <w:pPr>
        <w:numPr>
          <w:ilvl w:val="0"/>
          <w:numId w:val="12"/>
        </w:numPr>
        <w:spacing w:before="120" w:after="120" w:line="288" w:lineRule="auto"/>
        <w:ind w:left="0"/>
        <w:jc w:val="left"/>
      </w:pPr>
      <w:r>
        <w:rPr>
          <w:rFonts w:ascii="Arial" w:hAnsi="Arial" w:eastAsia="等线" w:cs="Arial"/>
          <w:sz w:val="22"/>
        </w:rPr>
        <w:t>李杨：18956231490</w:t>
      </w:r>
    </w:p>
    <w:p w14:paraId="61F855B1">
      <w:pPr>
        <w:numPr>
          <w:ilvl w:val="0"/>
          <w:numId w:val="13"/>
        </w:numPr>
        <w:spacing w:before="120" w:after="120" w:line="288" w:lineRule="auto"/>
        <w:ind w:left="0"/>
        <w:jc w:val="left"/>
      </w:pPr>
      <w:r>
        <w:rPr>
          <w:rFonts w:ascii="Arial" w:hAnsi="Arial" w:eastAsia="等线" w:cs="Arial"/>
          <w:sz w:val="22"/>
        </w:rPr>
        <w:t>冯慧：15156994569</w:t>
      </w:r>
    </w:p>
    <w:p w14:paraId="36DF16FD">
      <w:pPr>
        <w:pBdr>
          <w:bottom w:val="single" w:color="DEE0E3" w:sz="2" w:space="0"/>
          <w:between w:val="single" w:color="DEE0E3" w:sz="2" w:space="0"/>
        </w:pBdr>
        <w:spacing w:before="120" w:after="120" w:line="288" w:lineRule="auto"/>
        <w:ind w:left="0"/>
      </w:pPr>
    </w:p>
    <w:p w14:paraId="0DE3471D">
      <w:pPr>
        <w:spacing w:before="320" w:after="120" w:line="288" w:lineRule="auto"/>
        <w:ind w:left="0"/>
        <w:jc w:val="left"/>
        <w:outlineLvl w:val="1"/>
      </w:pPr>
      <w:bookmarkStart w:id="15" w:name="heading_15"/>
      <w:r>
        <w:rPr>
          <w:rFonts w:ascii="Arial" w:hAnsi="Arial" w:eastAsia="等线" w:cs="Arial"/>
          <w:b/>
          <w:sz w:val="32"/>
        </w:rPr>
        <w:t>其他说明</w:t>
      </w:r>
      <w:bookmarkEnd w:id="15"/>
    </w:p>
    <w:p w14:paraId="725CFC53">
      <w:pPr>
        <w:numPr>
          <w:ilvl w:val="0"/>
          <w:numId w:val="14"/>
        </w:numPr>
        <w:spacing w:before="120" w:after="120" w:line="288" w:lineRule="auto"/>
        <w:ind w:left="0"/>
        <w:jc w:val="left"/>
      </w:pPr>
      <w:r>
        <w:rPr>
          <w:rFonts w:ascii="Arial" w:hAnsi="Arial" w:eastAsia="等线" w:cs="Arial"/>
          <w:sz w:val="22"/>
        </w:rPr>
        <w:t>本次培训</w:t>
      </w:r>
      <w:r>
        <w:rPr>
          <w:rFonts w:ascii="Arial" w:hAnsi="Arial" w:eastAsia="等线" w:cs="Arial"/>
          <w:b/>
          <w:sz w:val="22"/>
        </w:rPr>
        <w:t>不收取培训费用</w:t>
      </w:r>
      <w:r>
        <w:rPr>
          <w:rFonts w:ascii="Arial" w:hAnsi="Arial" w:eastAsia="等线" w:cs="Arial"/>
          <w:sz w:val="22"/>
        </w:rPr>
        <w:t>，学员食宿费用自理。</w:t>
      </w:r>
    </w:p>
    <w:p w14:paraId="0DA2FD61">
      <w:pPr>
        <w:numPr>
          <w:ilvl w:val="0"/>
          <w:numId w:val="15"/>
        </w:numPr>
        <w:spacing w:before="120" w:after="120" w:line="288" w:lineRule="auto"/>
        <w:ind w:left="0"/>
        <w:jc w:val="left"/>
      </w:pPr>
      <w:r>
        <w:rPr>
          <w:rFonts w:ascii="Arial" w:hAnsi="Arial" w:eastAsia="等线" w:cs="Arial"/>
          <w:sz w:val="22"/>
        </w:rPr>
        <w:t>培训期间为</w:t>
      </w:r>
      <w:r>
        <w:rPr>
          <w:rFonts w:ascii="Arial" w:hAnsi="Arial" w:eastAsia="等线" w:cs="Arial"/>
          <w:b/>
          <w:sz w:val="22"/>
        </w:rPr>
        <w:t>全脱产学习</w:t>
      </w:r>
      <w:r>
        <w:rPr>
          <w:rFonts w:ascii="Arial" w:hAnsi="Arial" w:eastAsia="等线" w:cs="Arial"/>
          <w:sz w:val="22"/>
        </w:rPr>
        <w:t>，不得承担原单位临床、会议、考察等工作任务。</w:t>
      </w:r>
    </w:p>
    <w:p w14:paraId="7D6FB1DB">
      <w:pPr>
        <w:pBdr>
          <w:bottom w:val="single" w:color="DEE0E3" w:sz="2" w:space="0"/>
          <w:between w:val="single" w:color="DEE0E3" w:sz="2" w:space="0"/>
        </w:pBdr>
        <w:spacing w:before="120" w:after="120" w:line="288" w:lineRule="auto"/>
        <w:ind w:left="0"/>
      </w:pPr>
    </w:p>
    <w:p w14:paraId="4C84A649">
      <w:pPr>
        <w:spacing w:before="300" w:after="120" w:line="288" w:lineRule="auto"/>
        <w:ind w:left="0"/>
        <w:jc w:val="left"/>
        <w:outlineLvl w:val="2"/>
      </w:pPr>
      <w:bookmarkStart w:id="16" w:name="heading_16"/>
      <w:r>
        <w:rPr>
          <w:rFonts w:ascii="Arial" w:hAnsi="Arial" w:eastAsia="等线" w:cs="Arial"/>
          <w:b/>
          <w:sz w:val="30"/>
        </w:rPr>
        <w:t>附件：消化内镜诊疗技术培训术种</w:t>
      </w:r>
      <w:bookmarkEnd w:id="16"/>
    </w:p>
    <w:p w14:paraId="182AB4FE">
      <w:pPr>
        <w:spacing w:before="120" w:after="120" w:line="288" w:lineRule="auto"/>
        <w:ind w:left="0"/>
        <w:jc w:val="left"/>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eastAsia="zh-CN"/>
        </w:rPr>
        <w:drawing>
          <wp:inline distT="0" distB="0" distL="114300" distR="114300">
            <wp:extent cx="5269230" cy="4217035"/>
            <wp:effectExtent l="0" t="0" r="7620" b="2540"/>
            <wp:docPr id="1" name="图片 1" descr="45bf4085f411f4c43036edc61a554e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5bf4085f411f4c43036edc61a554ef8"/>
                    <pic:cNvPicPr>
                      <a:picLocks noChangeAspect="1"/>
                    </pic:cNvPicPr>
                  </pic:nvPicPr>
                  <pic:blipFill>
                    <a:blip r:embed="rId10"/>
                    <a:stretch>
                      <a:fillRect/>
                    </a:stretch>
                  </pic:blipFill>
                  <pic:spPr>
                    <a:xfrm>
                      <a:off x="0" y="0"/>
                      <a:ext cx="5269230" cy="4217035"/>
                    </a:xfrm>
                    <a:prstGeom prst="rect">
                      <a:avLst/>
                    </a:prstGeom>
                    <a:noFill/>
                    <a:ln>
                      <a:noFill/>
                    </a:ln>
                  </pic:spPr>
                </pic:pic>
              </a:graphicData>
            </a:graphic>
          </wp:inline>
        </w:drawing>
      </w:r>
    </w:p>
    <w:p w14:paraId="188568F1">
      <w:pPr>
        <w:spacing w:before="120" w:after="120" w:line="288" w:lineRule="auto"/>
        <w:ind w:left="0"/>
        <w:jc w:val="left"/>
        <w:rPr>
          <w:rFonts w:hint="eastAsia" w:ascii="宋体" w:hAnsi="宋体" w:eastAsia="宋体" w:cs="宋体"/>
          <w:b w:val="0"/>
          <w:bCs/>
          <w:color w:val="auto"/>
          <w:sz w:val="24"/>
          <w:szCs w:val="24"/>
          <w:lang w:eastAsia="zh-CN"/>
        </w:rPr>
      </w:pPr>
    </w:p>
    <w:p w14:paraId="4D485458">
      <w:pPr>
        <w:spacing w:before="120" w:after="120" w:line="288" w:lineRule="auto"/>
        <w:ind w:left="0"/>
        <w:jc w:val="left"/>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eastAsia="zh-CN"/>
        </w:rPr>
        <w:drawing>
          <wp:inline distT="0" distB="0" distL="114300" distR="114300">
            <wp:extent cx="5269230" cy="2863215"/>
            <wp:effectExtent l="0" t="0" r="7620" b="3810"/>
            <wp:docPr id="6" name="图片 6" descr="22eb7d5ce08eaead65210a4f1477cc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eb7d5ce08eaead65210a4f1477ccc7"/>
                    <pic:cNvPicPr>
                      <a:picLocks noChangeAspect="1"/>
                    </pic:cNvPicPr>
                  </pic:nvPicPr>
                  <pic:blipFill>
                    <a:blip r:embed="rId11"/>
                    <a:stretch>
                      <a:fillRect/>
                    </a:stretch>
                  </pic:blipFill>
                  <pic:spPr>
                    <a:xfrm>
                      <a:off x="0" y="0"/>
                      <a:ext cx="5269230" cy="2863215"/>
                    </a:xfrm>
                    <a:prstGeom prst="rect">
                      <a:avLst/>
                    </a:prstGeom>
                  </pic:spPr>
                </pic:pic>
              </a:graphicData>
            </a:graphic>
          </wp:inline>
        </w:drawing>
      </w:r>
    </w:p>
    <w:sectPr>
      <w:headerReference r:id="rId3" w:type="default"/>
      <w:footerReference r:id="rId4" w:type="default"/>
      <w:pgSz w:w="11905" w:h="1684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5AAB6"/>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7D8A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singleLevel"/>
    <w:tmpl w:val="9239341B"/>
    <w:lvl w:ilvl="0" w:tentative="0">
      <w:start w:val="2"/>
      <w:numFmt w:val="decimal"/>
      <w:lvlText w:val="%1."/>
      <w:lvlJc w:val="left"/>
      <w:rPr>
        <w:color w:val="3370FF"/>
      </w:rPr>
    </w:lvl>
  </w:abstractNum>
  <w:abstractNum w:abstractNumId="1">
    <w:nsid w:val="B5E306ED"/>
    <w:multiLevelType w:val="singleLevel"/>
    <w:tmpl w:val="B5E306ED"/>
    <w:lvl w:ilvl="0" w:tentative="0">
      <w:start w:val="0"/>
      <w:numFmt w:val="bullet"/>
      <w:lvlText w:val="•"/>
      <w:lvlJc w:val="left"/>
      <w:rPr>
        <w:color w:val="3370FF"/>
      </w:rPr>
    </w:lvl>
  </w:abstractNum>
  <w:abstractNum w:abstractNumId="2">
    <w:nsid w:val="BF205925"/>
    <w:multiLevelType w:val="singleLevel"/>
    <w:tmpl w:val="BF205925"/>
    <w:lvl w:ilvl="0" w:tentative="0">
      <w:start w:val="4"/>
      <w:numFmt w:val="decimal"/>
      <w:lvlText w:val="%1."/>
      <w:lvlJc w:val="left"/>
      <w:rPr>
        <w:color w:val="3370FF"/>
      </w:rPr>
    </w:lvl>
  </w:abstractNum>
  <w:abstractNum w:abstractNumId="3">
    <w:nsid w:val="C8879AEF"/>
    <w:multiLevelType w:val="singleLevel"/>
    <w:tmpl w:val="C8879AEF"/>
    <w:lvl w:ilvl="0" w:tentative="0">
      <w:start w:val="0"/>
      <w:numFmt w:val="bullet"/>
      <w:lvlText w:val="•"/>
      <w:lvlJc w:val="left"/>
      <w:rPr>
        <w:color w:val="3370FF"/>
      </w:rPr>
    </w:lvl>
  </w:abstractNum>
  <w:abstractNum w:abstractNumId="4">
    <w:nsid w:val="CF092B84"/>
    <w:multiLevelType w:val="singleLevel"/>
    <w:tmpl w:val="CF092B84"/>
    <w:lvl w:ilvl="0" w:tentative="0">
      <w:start w:val="2"/>
      <w:numFmt w:val="decimal"/>
      <w:lvlText w:val="%1."/>
      <w:lvlJc w:val="left"/>
      <w:rPr>
        <w:color w:val="3370FF"/>
      </w:rPr>
    </w:lvl>
  </w:abstractNum>
  <w:abstractNum w:abstractNumId="5">
    <w:nsid w:val="F4B5D9F5"/>
    <w:multiLevelType w:val="singleLevel"/>
    <w:tmpl w:val="F4B5D9F5"/>
    <w:lvl w:ilvl="0" w:tentative="0">
      <w:start w:val="2"/>
      <w:numFmt w:val="decimal"/>
      <w:lvlText w:val="%1."/>
      <w:lvlJc w:val="left"/>
      <w:rPr>
        <w:color w:val="3370FF"/>
      </w:rPr>
    </w:lvl>
  </w:abstractNum>
  <w:abstractNum w:abstractNumId="6">
    <w:nsid w:val="0053208E"/>
    <w:multiLevelType w:val="singleLevel"/>
    <w:tmpl w:val="0053208E"/>
    <w:lvl w:ilvl="0" w:tentative="0">
      <w:start w:val="1"/>
      <w:numFmt w:val="decimal"/>
      <w:lvlText w:val="%1."/>
      <w:lvlJc w:val="left"/>
      <w:rPr>
        <w:color w:val="3370FF"/>
      </w:rPr>
    </w:lvl>
  </w:abstractNum>
  <w:abstractNum w:abstractNumId="7">
    <w:nsid w:val="0248C179"/>
    <w:multiLevelType w:val="singleLevel"/>
    <w:tmpl w:val="0248C179"/>
    <w:lvl w:ilvl="0" w:tentative="0">
      <w:start w:val="1"/>
      <w:numFmt w:val="decimal"/>
      <w:lvlText w:val="%1."/>
      <w:lvlJc w:val="left"/>
      <w:rPr>
        <w:color w:val="3370FF"/>
      </w:rPr>
    </w:lvl>
  </w:abstractNum>
  <w:abstractNum w:abstractNumId="8">
    <w:nsid w:val="03D62ECE"/>
    <w:multiLevelType w:val="singleLevel"/>
    <w:tmpl w:val="03D62ECE"/>
    <w:lvl w:ilvl="0" w:tentative="0">
      <w:start w:val="0"/>
      <w:numFmt w:val="bullet"/>
      <w:lvlText w:val="•"/>
      <w:lvlJc w:val="left"/>
      <w:rPr>
        <w:color w:val="3370FF"/>
      </w:rPr>
    </w:lvl>
  </w:abstractNum>
  <w:abstractNum w:abstractNumId="9">
    <w:nsid w:val="25B654F3"/>
    <w:multiLevelType w:val="singleLevel"/>
    <w:tmpl w:val="25B654F3"/>
    <w:lvl w:ilvl="0" w:tentative="0">
      <w:start w:val="1"/>
      <w:numFmt w:val="decimal"/>
      <w:lvlText w:val="%1."/>
      <w:lvlJc w:val="left"/>
      <w:rPr>
        <w:color w:val="3370FF"/>
      </w:rPr>
    </w:lvl>
  </w:abstractNum>
  <w:abstractNum w:abstractNumId="10">
    <w:nsid w:val="2A8F537B"/>
    <w:multiLevelType w:val="singleLevel"/>
    <w:tmpl w:val="2A8F537B"/>
    <w:lvl w:ilvl="0" w:tentative="0">
      <w:start w:val="3"/>
      <w:numFmt w:val="decimal"/>
      <w:lvlText w:val="%1."/>
      <w:lvlJc w:val="left"/>
      <w:rPr>
        <w:color w:val="3370FF"/>
      </w:rPr>
    </w:lvl>
  </w:abstractNum>
  <w:abstractNum w:abstractNumId="11">
    <w:nsid w:val="4D4DC07F"/>
    <w:multiLevelType w:val="singleLevel"/>
    <w:tmpl w:val="4D4DC07F"/>
    <w:lvl w:ilvl="0" w:tentative="0">
      <w:start w:val="1"/>
      <w:numFmt w:val="decimal"/>
      <w:lvlText w:val="%1."/>
      <w:lvlJc w:val="left"/>
      <w:rPr>
        <w:color w:val="3370FF"/>
      </w:rPr>
    </w:lvl>
  </w:abstractNum>
  <w:abstractNum w:abstractNumId="12">
    <w:nsid w:val="59ADCABA"/>
    <w:multiLevelType w:val="singleLevel"/>
    <w:tmpl w:val="59ADCABA"/>
    <w:lvl w:ilvl="0" w:tentative="0">
      <w:start w:val="3"/>
      <w:numFmt w:val="decimal"/>
      <w:lvlText w:val="%1."/>
      <w:lvlJc w:val="left"/>
      <w:rPr>
        <w:color w:val="3370FF"/>
      </w:rPr>
    </w:lvl>
  </w:abstractNum>
  <w:abstractNum w:abstractNumId="13">
    <w:nsid w:val="5A241D34"/>
    <w:multiLevelType w:val="singleLevel"/>
    <w:tmpl w:val="5A241D34"/>
    <w:lvl w:ilvl="0" w:tentative="0">
      <w:start w:val="0"/>
      <w:numFmt w:val="bullet"/>
      <w:lvlText w:val="•"/>
      <w:lvlJc w:val="left"/>
      <w:rPr>
        <w:color w:val="3370FF"/>
      </w:rPr>
    </w:lvl>
  </w:abstractNum>
  <w:abstractNum w:abstractNumId="14">
    <w:nsid w:val="72183CF9"/>
    <w:multiLevelType w:val="singleLevel"/>
    <w:tmpl w:val="72183CF9"/>
    <w:lvl w:ilvl="0" w:tentative="0">
      <w:start w:val="2"/>
      <w:numFmt w:val="decimal"/>
      <w:lvlText w:val="%1."/>
      <w:lvlJc w:val="left"/>
      <w:rPr>
        <w:color w:val="3370FF"/>
      </w:rPr>
    </w:lvl>
  </w:abstractNum>
  <w:num w:numId="1">
    <w:abstractNumId w:val="6"/>
  </w:num>
  <w:num w:numId="2">
    <w:abstractNumId w:val="4"/>
  </w:num>
  <w:num w:numId="3">
    <w:abstractNumId w:val="12"/>
  </w:num>
  <w:num w:numId="4">
    <w:abstractNumId w:val="2"/>
  </w:num>
  <w:num w:numId="5">
    <w:abstractNumId w:val="1"/>
  </w:num>
  <w:num w:numId="6">
    <w:abstractNumId w:val="8"/>
  </w:num>
  <w:num w:numId="7">
    <w:abstractNumId w:val="9"/>
  </w:num>
  <w:num w:numId="8">
    <w:abstractNumId w:val="14"/>
  </w:num>
  <w:num w:numId="9">
    <w:abstractNumId w:val="7"/>
  </w:num>
  <w:num w:numId="10">
    <w:abstractNumId w:val="0"/>
  </w:num>
  <w:num w:numId="11">
    <w:abstractNumId w:val="10"/>
  </w:num>
  <w:num w:numId="12">
    <w:abstractNumId w:val="13"/>
  </w:num>
  <w:num w:numId="13">
    <w:abstractNumId w:val="3"/>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compat>
    <w:useFELayout/>
    <w:splitPgBreakAndParaMark/>
    <w:compatSetting w:name="compatibilityMode" w:uri="http://schemas.microsoft.com/office/word" w:val="12"/>
  </w:compat>
  <w:rsids>
    <w:rsidRoot w:val="00000000"/>
    <w:rsid w:val="278C0A67"/>
    <w:rsid w:val="321A281D"/>
    <w:rsid w:val="4B296D18"/>
    <w:rsid w:val="5826461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Pages>
  <Words>1572</Words>
  <Characters>1780</Characters>
  <TotalTime>6</TotalTime>
  <ScaleCrop>false</ScaleCrop>
  <LinksUpToDate>false</LinksUpToDate>
  <CharactersWithSpaces>1781</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2026-04-02T15:52:00Z</dcterms:created>
  <dc:creator>Apache POI</dc:creator>
  <cp:lastModifiedBy>慧</cp:lastModifiedBy>
  <dcterms:modified xsi:type="dcterms:W3CDTF">2026-04-03T12:34:22Z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eyJoZGlkIjoiYTY5ZWNlZDAxOTQyZjU0MWE3OGFiMWQ1NDdjZWYwODciLCJ1c2VySWQiOiI0NDY3NDA4NTkifQ==</vt:lpwstr>
  </property>
  <property fmtid="{D5CDD505-2E9C-101B-9397-08002B2CF9AE}" pid="3" name="KSOProductBuildVer">
    <vt:lpwstr>2052-12.1.0.20305</vt:lpwstr>
  </property>
  <property fmtid="{D5CDD505-2E9C-101B-9397-08002B2CF9AE}" pid="4" name="ICV">
    <vt:lpwstr>F19C67F63E4544999DC759363F6AB18F_12</vt:lpwstr>
  </property>
</Properties>
</file>