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 w:cs="Times New Roman"/>
          <w:bCs/>
          <w:sz w:val="36"/>
          <w:szCs w:val="36"/>
        </w:rPr>
      </w:pPr>
      <w:bookmarkStart w:id="0" w:name="_GoBack"/>
      <w:r>
        <w:rPr>
          <w:rFonts w:hint="eastAsia" w:ascii="Times New Roman" w:hAnsi="Times New Roman" w:eastAsia="仿宋" w:cs="Times New Roman"/>
          <w:b/>
          <w:bCs w:val="0"/>
          <w:sz w:val="32"/>
          <w:szCs w:val="32"/>
          <w:lang w:val="en-US" w:eastAsia="zh-CN"/>
        </w:rPr>
        <w:t>安医大一附院</w:t>
      </w:r>
      <w:r>
        <w:rPr>
          <w:rFonts w:ascii="Times New Roman" w:hAnsi="Times New Roman" w:eastAsia="仿宋" w:cs="Times New Roman"/>
          <w:b/>
          <w:bCs w:val="0"/>
          <w:sz w:val="32"/>
          <w:szCs w:val="32"/>
        </w:rPr>
        <w:t>非中医类别医师学习中医2年期培训大纲</w:t>
      </w:r>
      <w:bookmarkEnd w:id="0"/>
    </w:p>
    <w:p>
      <w:pPr>
        <w:spacing w:line="560" w:lineRule="exact"/>
        <w:rPr>
          <w:rFonts w:ascii="Times New Roman" w:hAnsi="Times New Roman" w:eastAsia="仿宋" w:cs="Times New Roman"/>
          <w:b/>
          <w:bCs/>
          <w:sz w:val="36"/>
          <w:szCs w:val="36"/>
        </w:rPr>
      </w:pPr>
    </w:p>
    <w:p>
      <w:pPr>
        <w:spacing w:line="560" w:lineRule="exact"/>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rPr>
        <w:t>一、培养目标</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以提高培训对象的中医药服务能力为目标，培训对象通过系统地学习中医基础理论、基本知识和基本技能，结合已有的现代医学知识、技能和临床经验，能遵照中医临床基本的辨证施治原则开具中成药处方和中药饮片处方，并能运用常见中医药适宜技术对常见病进行诊疗。</w:t>
      </w:r>
    </w:p>
    <w:p>
      <w:pPr>
        <w:spacing w:line="560" w:lineRule="exact"/>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rPr>
        <w:t>二、培训对象</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主要以我院非中医类别执业医师为主，可拓展至安徽医科大学其他附属医院的非中医类别执业医师。</w:t>
      </w:r>
    </w:p>
    <w:p>
      <w:pPr>
        <w:spacing w:line="560" w:lineRule="exact"/>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lang w:bidi="ar"/>
        </w:rPr>
        <w:t>三、培训时间和形式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bidi="ar"/>
        </w:rPr>
        <w:t>培训时间2年，采用集中授课、网络课程与自主学习、临床跟师实践相结合的方式。累计理论学习时间不少于850学时。</w:t>
      </w:r>
    </w:p>
    <w:p>
      <w:pPr>
        <w:spacing w:line="560" w:lineRule="exact"/>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lang w:bidi="ar"/>
        </w:rPr>
        <w:t>四、课程设置及学时安排</w:t>
      </w:r>
    </w:p>
    <w:p>
      <w:pPr>
        <w:ind w:firstLine="643" w:firstLineChars="200"/>
        <w:rPr>
          <w:rFonts w:ascii="Times New Roman" w:hAnsi="Times New Roman" w:eastAsia="仿宋" w:cs="Times New Roman"/>
          <w:b/>
          <w:sz w:val="32"/>
          <w:szCs w:val="32"/>
          <w:lang w:bidi="ar"/>
        </w:rPr>
      </w:pPr>
      <w:r>
        <w:rPr>
          <w:rFonts w:ascii="Times New Roman" w:hAnsi="Times New Roman" w:eastAsia="仿宋" w:cs="Times New Roman"/>
          <w:b/>
          <w:sz w:val="32"/>
          <w:szCs w:val="32"/>
          <w:lang w:bidi="ar"/>
        </w:rPr>
        <w:t>（一）课程设置与要求</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1.中医基础理论：讲授中医基础理论知识，培养中医思维方法，为学习中医诊断学、中药学、方剂学打下必要的基础。</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2.中医诊断学：讲授中医诊法和辨证的基本理论，初步训练诊法、辨证和病历书写。</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3.中药学：讲授中药性味、功效、配伍关系等中药学基本理论，能对常用中药进行正确辨识。</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4.方剂学：讲授中医方剂的组方原则、方义及配伍特点等基本理论，熟悉方剂与治法的关系及常用中成药的使用知识。</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5.医古文：讲授文选和基础知识，掌握中医古文常用词汇，具备一定的有关中医古文词汇、句式、标点、今译等方面的知识，为自主阅读和研究中医古籍打下基础。</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6.中医内科学：讲授各脏腑病机、辨证特点，治疗原则和常用治法等内科基础理论知识，掌握中医内科常见病、多发病的病因、病机、辨证施治、处方用药规律和临床治疗技术，并基本掌握内科疑难病的中医治疗原则和处理。</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7. 中医外科学：讲授中医外科的基本理论，重点讲授外科常见病的辨证论治基本知识和手术治疗基本技能。</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8.中医妇科学：讲授妇女特有的解剖与生理特点，重点讲授妇科常见病、多发病的辨证论治的基本技能。</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9.中医儿科学：讲授小儿的生理、病理特点，重点讲授儿科常见病、多发病辨证论治的基本技能。</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10.针灸学：讲授经络腧穴的基本知识，常用穴位的定位和主治规律，刺法、灸法的基本理论知识，掌握针灸手法的基本技能和临床应用。</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11.推拿学：讲授推拿基本理论及常用手法，常见病的推拿按摩疗法。</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12.中医骨伤科学：讲授中医骨伤科学基本原理，重点讲授各种骨折的诊断、整复手法及固定，各种关节脱位的治疗手法及骨关节病的治疗。</w:t>
      </w:r>
    </w:p>
    <w:p>
      <w:pPr>
        <w:spacing w:line="560" w:lineRule="exact"/>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13.中成药学：讲授中成药的基本知识及常用中成药的处方、制法、功能主治、临床应用、用法与用量、规格、其他剂型、使用注意、不良反应及药理作用等内容。</w:t>
      </w:r>
    </w:p>
    <w:p>
      <w:pPr>
        <w:spacing w:line="560" w:lineRule="exact"/>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14.中医药适宜技术：讲授中医药适宜技术的分类、方法、用法及常见病的中医药适宜技术诊疗方法。</w:t>
      </w:r>
    </w:p>
    <w:p>
      <w:pPr>
        <w:spacing w:line="360" w:lineRule="auto"/>
        <w:ind w:firstLine="640" w:firstLineChars="200"/>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15.中医经典专题讲座：开展中医四大经典专题讲座。</w:t>
      </w:r>
    </w:p>
    <w:p>
      <w:pPr>
        <w:spacing w:line="360" w:lineRule="auto"/>
        <w:ind w:firstLine="480" w:firstLineChars="150"/>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（二）学时安排</w:t>
      </w:r>
    </w:p>
    <w:tbl>
      <w:tblPr>
        <w:tblStyle w:val="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94"/>
        <w:gridCol w:w="992"/>
        <w:gridCol w:w="992"/>
        <w:gridCol w:w="1843"/>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序号</w:t>
            </w:r>
          </w:p>
        </w:tc>
        <w:tc>
          <w:tcPr>
            <w:tcW w:w="2694" w:type="dxa"/>
            <w:vMerge w:val="restart"/>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课程名称</w:t>
            </w:r>
          </w:p>
        </w:tc>
        <w:tc>
          <w:tcPr>
            <w:tcW w:w="992" w:type="dxa"/>
            <w:vMerge w:val="restart"/>
            <w:vAlign w:val="center"/>
          </w:tcPr>
          <w:p>
            <w:pPr>
              <w:spacing w:line="360" w:lineRule="auto"/>
              <w:ind w:firstLine="160" w:firstLineChars="50"/>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总学时数</w:t>
            </w:r>
          </w:p>
        </w:tc>
        <w:tc>
          <w:tcPr>
            <w:tcW w:w="992" w:type="dxa"/>
            <w:vMerge w:val="restart"/>
            <w:vAlign w:val="center"/>
          </w:tcPr>
          <w:p>
            <w:pPr>
              <w:spacing w:line="360" w:lineRule="auto"/>
              <w:ind w:firstLine="160" w:firstLineChars="50"/>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面授时数</w:t>
            </w:r>
          </w:p>
        </w:tc>
        <w:tc>
          <w:tcPr>
            <w:tcW w:w="1843" w:type="dxa"/>
            <w:vMerge w:val="restart"/>
            <w:vAlign w:val="center"/>
          </w:tcPr>
          <w:p>
            <w:pPr>
              <w:spacing w:line="360" w:lineRule="auto"/>
              <w:ind w:firstLine="160" w:firstLineChars="50"/>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线上网络学习及自主学习时数</w:t>
            </w:r>
          </w:p>
        </w:tc>
        <w:tc>
          <w:tcPr>
            <w:tcW w:w="1701" w:type="dxa"/>
            <w:gridSpan w:val="2"/>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开设学年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60" w:lineRule="auto"/>
              <w:jc w:val="center"/>
              <w:rPr>
                <w:rFonts w:ascii="Times New Roman" w:hAnsi="Times New Roman" w:eastAsia="仿宋" w:cs="Times New Roman"/>
                <w:sz w:val="32"/>
                <w:szCs w:val="32"/>
                <w:lang w:bidi="ar"/>
              </w:rPr>
            </w:pPr>
          </w:p>
        </w:tc>
        <w:tc>
          <w:tcPr>
            <w:tcW w:w="2694" w:type="dxa"/>
            <w:vMerge w:val="continue"/>
            <w:vAlign w:val="center"/>
          </w:tcPr>
          <w:p>
            <w:pPr>
              <w:spacing w:line="360" w:lineRule="auto"/>
              <w:jc w:val="center"/>
              <w:rPr>
                <w:rFonts w:ascii="Times New Roman" w:hAnsi="Times New Roman" w:eastAsia="仿宋" w:cs="Times New Roman"/>
                <w:sz w:val="32"/>
                <w:szCs w:val="32"/>
                <w:lang w:bidi="ar"/>
              </w:rPr>
            </w:pPr>
          </w:p>
        </w:tc>
        <w:tc>
          <w:tcPr>
            <w:tcW w:w="992" w:type="dxa"/>
            <w:vMerge w:val="continue"/>
            <w:vAlign w:val="center"/>
          </w:tcPr>
          <w:p>
            <w:pPr>
              <w:spacing w:line="360" w:lineRule="auto"/>
              <w:jc w:val="center"/>
              <w:rPr>
                <w:rFonts w:ascii="Times New Roman" w:hAnsi="Times New Roman" w:eastAsia="仿宋" w:cs="Times New Roman"/>
                <w:sz w:val="32"/>
                <w:szCs w:val="32"/>
                <w:lang w:bidi="ar"/>
              </w:rPr>
            </w:pPr>
          </w:p>
        </w:tc>
        <w:tc>
          <w:tcPr>
            <w:tcW w:w="992" w:type="dxa"/>
            <w:vMerge w:val="continue"/>
            <w:vAlign w:val="center"/>
          </w:tcPr>
          <w:p>
            <w:pPr>
              <w:spacing w:line="360" w:lineRule="auto"/>
              <w:jc w:val="center"/>
              <w:rPr>
                <w:rFonts w:ascii="Times New Roman" w:hAnsi="Times New Roman" w:eastAsia="仿宋" w:cs="Times New Roman"/>
                <w:sz w:val="32"/>
                <w:szCs w:val="32"/>
                <w:lang w:bidi="ar"/>
              </w:rPr>
            </w:pPr>
          </w:p>
        </w:tc>
        <w:tc>
          <w:tcPr>
            <w:tcW w:w="1843" w:type="dxa"/>
            <w:vMerge w:val="continue"/>
            <w:vAlign w:val="center"/>
          </w:tcPr>
          <w:p>
            <w:pPr>
              <w:spacing w:line="360" w:lineRule="auto"/>
              <w:jc w:val="center"/>
              <w:rPr>
                <w:rFonts w:ascii="Times New Roman" w:hAnsi="Times New Roman" w:eastAsia="仿宋" w:cs="Times New Roman"/>
                <w:sz w:val="32"/>
                <w:szCs w:val="32"/>
                <w:lang w:bidi="ar"/>
              </w:rPr>
            </w:pPr>
          </w:p>
        </w:tc>
        <w:tc>
          <w:tcPr>
            <w:tcW w:w="850"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一</w:t>
            </w:r>
          </w:p>
        </w:tc>
        <w:tc>
          <w:tcPr>
            <w:tcW w:w="851"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中医基础理论</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80</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40</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40</w:t>
            </w:r>
          </w:p>
        </w:tc>
        <w:tc>
          <w:tcPr>
            <w:tcW w:w="850"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c>
          <w:tcPr>
            <w:tcW w:w="851" w:type="dxa"/>
            <w:vAlign w:val="center"/>
          </w:tcPr>
          <w:p>
            <w:pPr>
              <w:spacing w:line="360" w:lineRule="auto"/>
              <w:jc w:val="center"/>
              <w:rPr>
                <w:rFonts w:ascii="Times New Roman" w:hAnsi="Times New Roman" w:eastAsia="仿宋" w:cs="Times New Roman"/>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中医诊断学</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72</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36</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36</w:t>
            </w:r>
          </w:p>
        </w:tc>
        <w:tc>
          <w:tcPr>
            <w:tcW w:w="850"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c>
          <w:tcPr>
            <w:tcW w:w="851" w:type="dxa"/>
            <w:vAlign w:val="center"/>
          </w:tcPr>
          <w:p>
            <w:pPr>
              <w:spacing w:line="360" w:lineRule="auto"/>
              <w:jc w:val="center"/>
              <w:rPr>
                <w:rFonts w:ascii="Times New Roman" w:hAnsi="Times New Roman" w:eastAsia="仿宋" w:cs="Times New Roman"/>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3</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中药学</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96</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48</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48</w:t>
            </w:r>
          </w:p>
        </w:tc>
        <w:tc>
          <w:tcPr>
            <w:tcW w:w="850"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c>
          <w:tcPr>
            <w:tcW w:w="851" w:type="dxa"/>
            <w:vAlign w:val="center"/>
          </w:tcPr>
          <w:p>
            <w:pPr>
              <w:spacing w:line="360" w:lineRule="auto"/>
              <w:jc w:val="center"/>
              <w:rPr>
                <w:rFonts w:ascii="Times New Roman" w:hAnsi="Times New Roman" w:eastAsia="仿宋" w:cs="Times New Roman"/>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方剂学</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96</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48</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48</w:t>
            </w:r>
          </w:p>
        </w:tc>
        <w:tc>
          <w:tcPr>
            <w:tcW w:w="850"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c>
          <w:tcPr>
            <w:tcW w:w="851" w:type="dxa"/>
            <w:vAlign w:val="center"/>
          </w:tcPr>
          <w:p>
            <w:pPr>
              <w:spacing w:line="360" w:lineRule="auto"/>
              <w:jc w:val="center"/>
              <w:rPr>
                <w:rFonts w:ascii="Times New Roman" w:hAnsi="Times New Roman" w:eastAsia="仿宋" w:cs="Times New Roman"/>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5</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医古文</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56</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28</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28</w:t>
            </w:r>
          </w:p>
        </w:tc>
        <w:tc>
          <w:tcPr>
            <w:tcW w:w="850"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c>
          <w:tcPr>
            <w:tcW w:w="851" w:type="dxa"/>
            <w:vAlign w:val="center"/>
          </w:tcPr>
          <w:p>
            <w:pPr>
              <w:spacing w:line="360" w:lineRule="auto"/>
              <w:jc w:val="center"/>
              <w:rPr>
                <w:rFonts w:ascii="Times New Roman" w:hAnsi="Times New Roman" w:eastAsia="仿宋" w:cs="Times New Roman"/>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6</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中医内科学</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96</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48</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48</w:t>
            </w:r>
          </w:p>
        </w:tc>
        <w:tc>
          <w:tcPr>
            <w:tcW w:w="850"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c>
          <w:tcPr>
            <w:tcW w:w="851" w:type="dxa"/>
            <w:vAlign w:val="center"/>
          </w:tcPr>
          <w:p>
            <w:pPr>
              <w:spacing w:line="360" w:lineRule="auto"/>
              <w:jc w:val="center"/>
              <w:rPr>
                <w:rFonts w:ascii="Times New Roman" w:hAnsi="Times New Roman" w:eastAsia="仿宋" w:cs="Times New Roman"/>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7</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中医外科学</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40</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20</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20</w:t>
            </w:r>
          </w:p>
        </w:tc>
        <w:tc>
          <w:tcPr>
            <w:tcW w:w="850" w:type="dxa"/>
            <w:vAlign w:val="center"/>
          </w:tcPr>
          <w:p>
            <w:pPr>
              <w:spacing w:line="360" w:lineRule="auto"/>
              <w:jc w:val="center"/>
              <w:rPr>
                <w:rFonts w:ascii="Times New Roman" w:hAnsi="Times New Roman" w:eastAsia="仿宋" w:cs="Times New Roman"/>
                <w:sz w:val="32"/>
                <w:szCs w:val="32"/>
                <w:lang w:bidi="ar"/>
              </w:rPr>
            </w:pPr>
          </w:p>
        </w:tc>
        <w:tc>
          <w:tcPr>
            <w:tcW w:w="851"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8</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中医妇科学</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40</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20</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20</w:t>
            </w:r>
          </w:p>
        </w:tc>
        <w:tc>
          <w:tcPr>
            <w:tcW w:w="850" w:type="dxa"/>
            <w:vAlign w:val="center"/>
          </w:tcPr>
          <w:p>
            <w:pPr>
              <w:spacing w:line="360" w:lineRule="auto"/>
              <w:jc w:val="center"/>
              <w:rPr>
                <w:rFonts w:ascii="Times New Roman" w:hAnsi="Times New Roman" w:eastAsia="仿宋" w:cs="Times New Roman"/>
                <w:sz w:val="32"/>
                <w:szCs w:val="32"/>
                <w:lang w:bidi="ar"/>
              </w:rPr>
            </w:pPr>
          </w:p>
        </w:tc>
        <w:tc>
          <w:tcPr>
            <w:tcW w:w="851"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9</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中医儿科学</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32</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16</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16</w:t>
            </w:r>
          </w:p>
        </w:tc>
        <w:tc>
          <w:tcPr>
            <w:tcW w:w="850" w:type="dxa"/>
            <w:vAlign w:val="center"/>
          </w:tcPr>
          <w:p>
            <w:pPr>
              <w:spacing w:line="360" w:lineRule="auto"/>
              <w:jc w:val="center"/>
              <w:rPr>
                <w:rFonts w:ascii="Times New Roman" w:hAnsi="Times New Roman" w:eastAsia="仿宋" w:cs="Times New Roman"/>
                <w:sz w:val="32"/>
                <w:szCs w:val="32"/>
                <w:lang w:bidi="ar"/>
              </w:rPr>
            </w:pPr>
          </w:p>
        </w:tc>
        <w:tc>
          <w:tcPr>
            <w:tcW w:w="851"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10</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针灸学</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80</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40</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40</w:t>
            </w:r>
          </w:p>
        </w:tc>
        <w:tc>
          <w:tcPr>
            <w:tcW w:w="850"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c>
          <w:tcPr>
            <w:tcW w:w="851" w:type="dxa"/>
            <w:vAlign w:val="center"/>
          </w:tcPr>
          <w:p>
            <w:pPr>
              <w:spacing w:line="360" w:lineRule="auto"/>
              <w:jc w:val="center"/>
              <w:rPr>
                <w:rFonts w:ascii="Times New Roman" w:hAnsi="Times New Roman" w:eastAsia="仿宋" w:cs="Times New Roman"/>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11</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推拿学</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32</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16</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16</w:t>
            </w:r>
          </w:p>
        </w:tc>
        <w:tc>
          <w:tcPr>
            <w:tcW w:w="850" w:type="dxa"/>
            <w:vAlign w:val="center"/>
          </w:tcPr>
          <w:p>
            <w:pPr>
              <w:spacing w:line="360" w:lineRule="auto"/>
              <w:jc w:val="center"/>
              <w:rPr>
                <w:rFonts w:ascii="Times New Roman" w:hAnsi="Times New Roman" w:eastAsia="仿宋" w:cs="Times New Roman"/>
                <w:sz w:val="32"/>
                <w:szCs w:val="32"/>
                <w:lang w:bidi="ar"/>
              </w:rPr>
            </w:pPr>
          </w:p>
        </w:tc>
        <w:tc>
          <w:tcPr>
            <w:tcW w:w="851"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12</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中医骨伤科学</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40</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20</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20</w:t>
            </w:r>
          </w:p>
        </w:tc>
        <w:tc>
          <w:tcPr>
            <w:tcW w:w="850"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c>
          <w:tcPr>
            <w:tcW w:w="851" w:type="dxa"/>
            <w:vAlign w:val="center"/>
          </w:tcPr>
          <w:p>
            <w:pPr>
              <w:spacing w:line="360" w:lineRule="auto"/>
              <w:jc w:val="center"/>
              <w:rPr>
                <w:rFonts w:ascii="Times New Roman" w:hAnsi="Times New Roman" w:eastAsia="仿宋" w:cs="Times New Roman"/>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13</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中成药学</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32</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16</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16</w:t>
            </w:r>
          </w:p>
        </w:tc>
        <w:tc>
          <w:tcPr>
            <w:tcW w:w="850" w:type="dxa"/>
            <w:vAlign w:val="center"/>
          </w:tcPr>
          <w:p>
            <w:pPr>
              <w:spacing w:line="360" w:lineRule="auto"/>
              <w:jc w:val="center"/>
              <w:rPr>
                <w:rFonts w:ascii="Times New Roman" w:hAnsi="Times New Roman" w:eastAsia="仿宋" w:cs="Times New Roman"/>
                <w:sz w:val="32"/>
                <w:szCs w:val="32"/>
                <w:lang w:bidi="ar"/>
              </w:rPr>
            </w:pPr>
          </w:p>
        </w:tc>
        <w:tc>
          <w:tcPr>
            <w:tcW w:w="851"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14</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中医药适宜技术</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24</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12</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12</w:t>
            </w:r>
          </w:p>
        </w:tc>
        <w:tc>
          <w:tcPr>
            <w:tcW w:w="850" w:type="dxa"/>
            <w:vAlign w:val="center"/>
          </w:tcPr>
          <w:p>
            <w:pPr>
              <w:spacing w:line="360" w:lineRule="auto"/>
              <w:jc w:val="center"/>
              <w:rPr>
                <w:rFonts w:ascii="Times New Roman" w:hAnsi="Times New Roman" w:eastAsia="仿宋" w:cs="Times New Roman"/>
                <w:sz w:val="32"/>
                <w:szCs w:val="32"/>
                <w:lang w:bidi="ar"/>
              </w:rPr>
            </w:pPr>
          </w:p>
        </w:tc>
        <w:tc>
          <w:tcPr>
            <w:tcW w:w="851"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15</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中医经典专题讲座</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40</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40</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0</w:t>
            </w:r>
          </w:p>
        </w:tc>
        <w:tc>
          <w:tcPr>
            <w:tcW w:w="850" w:type="dxa"/>
            <w:vAlign w:val="center"/>
          </w:tcPr>
          <w:p>
            <w:pPr>
              <w:spacing w:line="360" w:lineRule="auto"/>
              <w:jc w:val="center"/>
              <w:rPr>
                <w:rFonts w:ascii="Times New Roman" w:hAnsi="Times New Roman" w:eastAsia="仿宋" w:cs="Times New Roman"/>
                <w:sz w:val="32"/>
                <w:szCs w:val="32"/>
                <w:lang w:bidi="ar"/>
              </w:rPr>
            </w:pPr>
          </w:p>
        </w:tc>
        <w:tc>
          <w:tcPr>
            <w:tcW w:w="851"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16</w:t>
            </w:r>
          </w:p>
        </w:tc>
        <w:tc>
          <w:tcPr>
            <w:tcW w:w="2694" w:type="dxa"/>
            <w:vAlign w:val="center"/>
          </w:tcPr>
          <w:p>
            <w:pPr>
              <w:spacing w:line="360" w:lineRule="auto"/>
              <w:jc w:val="left"/>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临床实践</w:t>
            </w:r>
          </w:p>
        </w:tc>
        <w:tc>
          <w:tcPr>
            <w:tcW w:w="992" w:type="dxa"/>
            <w:vAlign w:val="center"/>
          </w:tcPr>
          <w:p>
            <w:pPr>
              <w:spacing w:line="360" w:lineRule="auto"/>
              <w:jc w:val="center"/>
              <w:rPr>
                <w:rFonts w:ascii="Times New Roman" w:hAnsi="Times New Roman" w:eastAsia="仿宋" w:cs="Times New Roman"/>
                <w:sz w:val="32"/>
                <w:szCs w:val="32"/>
                <w:lang w:bidi="ar"/>
              </w:rPr>
            </w:pPr>
          </w:p>
        </w:tc>
        <w:tc>
          <w:tcPr>
            <w:tcW w:w="992" w:type="dxa"/>
            <w:vAlign w:val="center"/>
          </w:tcPr>
          <w:p>
            <w:pPr>
              <w:spacing w:line="360" w:lineRule="auto"/>
              <w:jc w:val="center"/>
              <w:rPr>
                <w:rFonts w:ascii="Times New Roman" w:hAnsi="Times New Roman" w:eastAsia="仿宋" w:cs="Times New Roman"/>
                <w:sz w:val="32"/>
                <w:szCs w:val="32"/>
                <w:lang w:bidi="ar"/>
              </w:rPr>
            </w:pPr>
          </w:p>
        </w:tc>
        <w:tc>
          <w:tcPr>
            <w:tcW w:w="1843" w:type="dxa"/>
            <w:vAlign w:val="center"/>
          </w:tcPr>
          <w:p>
            <w:pPr>
              <w:spacing w:line="360" w:lineRule="auto"/>
              <w:jc w:val="center"/>
              <w:rPr>
                <w:rFonts w:ascii="Times New Roman" w:hAnsi="Times New Roman" w:eastAsia="仿宋" w:cs="Times New Roman"/>
                <w:sz w:val="32"/>
                <w:szCs w:val="32"/>
                <w:lang w:bidi="ar"/>
              </w:rPr>
            </w:pPr>
          </w:p>
        </w:tc>
        <w:tc>
          <w:tcPr>
            <w:tcW w:w="850" w:type="dxa"/>
            <w:vAlign w:val="center"/>
          </w:tcPr>
          <w:p>
            <w:pPr>
              <w:spacing w:line="360" w:lineRule="auto"/>
              <w:jc w:val="center"/>
              <w:rPr>
                <w:rFonts w:ascii="Times New Roman" w:hAnsi="Times New Roman" w:eastAsia="仿宋" w:cs="Times New Roman"/>
                <w:sz w:val="32"/>
                <w:szCs w:val="32"/>
                <w:lang w:bidi="ar"/>
              </w:rPr>
            </w:pPr>
          </w:p>
        </w:tc>
        <w:tc>
          <w:tcPr>
            <w:tcW w:w="851"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Times New Roman" w:hAnsi="Times New Roman" w:eastAsia="仿宋" w:cs="Times New Roman"/>
                <w:sz w:val="32"/>
                <w:szCs w:val="32"/>
                <w:lang w:bidi="ar"/>
              </w:rPr>
            </w:pPr>
          </w:p>
        </w:tc>
        <w:tc>
          <w:tcPr>
            <w:tcW w:w="2694"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合计</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856</w:t>
            </w:r>
          </w:p>
        </w:tc>
        <w:tc>
          <w:tcPr>
            <w:tcW w:w="992"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448</w:t>
            </w:r>
          </w:p>
        </w:tc>
        <w:tc>
          <w:tcPr>
            <w:tcW w:w="1843" w:type="dxa"/>
            <w:vAlign w:val="center"/>
          </w:tcPr>
          <w:p>
            <w:pPr>
              <w:spacing w:line="360" w:lineRule="auto"/>
              <w:jc w:val="center"/>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408</w:t>
            </w:r>
          </w:p>
        </w:tc>
        <w:tc>
          <w:tcPr>
            <w:tcW w:w="850" w:type="dxa"/>
            <w:vAlign w:val="center"/>
          </w:tcPr>
          <w:p>
            <w:pPr>
              <w:spacing w:line="360" w:lineRule="auto"/>
              <w:jc w:val="center"/>
              <w:rPr>
                <w:rFonts w:ascii="Times New Roman" w:hAnsi="Times New Roman" w:eastAsia="仿宋" w:cs="Times New Roman"/>
                <w:sz w:val="32"/>
                <w:szCs w:val="32"/>
                <w:lang w:bidi="ar"/>
              </w:rPr>
            </w:pPr>
          </w:p>
        </w:tc>
        <w:tc>
          <w:tcPr>
            <w:tcW w:w="851" w:type="dxa"/>
            <w:vAlign w:val="center"/>
          </w:tcPr>
          <w:p>
            <w:pPr>
              <w:spacing w:line="360" w:lineRule="auto"/>
              <w:jc w:val="center"/>
              <w:rPr>
                <w:rFonts w:ascii="Times New Roman" w:hAnsi="Times New Roman" w:eastAsia="仿宋" w:cs="Times New Roman"/>
                <w:sz w:val="32"/>
                <w:szCs w:val="32"/>
                <w:lang w:bidi="ar"/>
              </w:rPr>
            </w:pPr>
          </w:p>
        </w:tc>
      </w:tr>
    </w:tbl>
    <w:p>
      <w:pPr>
        <w:spacing w:line="560" w:lineRule="exact"/>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lang w:bidi="ar"/>
        </w:rPr>
        <w:t>五、临床实践</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临床实践以门诊跟师为主，实践内容包括中医内科和其他临床学科一门（根据学员自身情况任选），累计时间不少于8周，要求完成跟师学习笔记或学习心得10篇。</w:t>
      </w:r>
    </w:p>
    <w:p>
      <w:pPr>
        <w:spacing w:line="560" w:lineRule="exact"/>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lang w:bidi="ar"/>
        </w:rPr>
        <w:t>六、教材</w:t>
      </w:r>
    </w:p>
    <w:p>
      <w:pPr>
        <w:spacing w:line="560" w:lineRule="exact"/>
        <w:ind w:firstLine="555"/>
        <w:rPr>
          <w:rFonts w:ascii="Times New Roman" w:hAnsi="Times New Roman" w:eastAsia="仿宋" w:cs="Times New Roman"/>
          <w:sz w:val="32"/>
          <w:szCs w:val="32"/>
        </w:rPr>
      </w:pPr>
      <w:r>
        <w:rPr>
          <w:rFonts w:ascii="Times New Roman" w:hAnsi="Times New Roman" w:eastAsia="仿宋" w:cs="Times New Roman"/>
          <w:sz w:val="32"/>
          <w:szCs w:val="32"/>
          <w:lang w:bidi="ar"/>
        </w:rPr>
        <w:t>采用全国高等中医药院校成人教育统编教材或普通高等教育中医药院校规划教材。</w:t>
      </w:r>
    </w:p>
    <w:p>
      <w:pPr>
        <w:spacing w:line="560" w:lineRule="exact"/>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lang w:bidi="ar"/>
        </w:rPr>
        <w:t>七、考核</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bidi="ar"/>
        </w:rPr>
        <w:t>培训中设置的各门课程、各主要培养环节，均要考试考核。</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bidi="ar"/>
        </w:rPr>
        <w:t>理论课程学习考试由理论培训单位组织实施，考试成绩以百分制评定，其中培训网络课程学习和作业占40%，考试占60%。成绩不及格者，准许补考一次，成绩按60分计，考试成绩由培训单位存档备查。</w:t>
      </w:r>
    </w:p>
    <w:p>
      <w:pPr>
        <w:spacing w:line="360" w:lineRule="auto"/>
        <w:ind w:firstLine="54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临床实践考核由实践带教单位负责组织实施，对培训对象的出勤情况、基本理论、基本技能掌握情况、跟师笔记或学习心得完成情况等进行考评，并按优、良、及格、不及格评定实践成绩。实践期间无故缺勤累计达四分之一以上者为不及格。</w:t>
      </w:r>
    </w:p>
    <w:p>
      <w:pPr>
        <w:spacing w:line="360" w:lineRule="auto"/>
        <w:ind w:firstLine="54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培训期满且所有考试考核合格者，由培训单位颁发培训合格证书。</w:t>
      </w:r>
    </w:p>
    <w:p>
      <w:pPr>
        <w:ind w:firstLine="640" w:firstLineChars="200"/>
        <w:rPr>
          <w:rFonts w:ascii="Times New Roman" w:hAnsi="Times New Roman" w:eastAsia="仿宋" w:cs="Times New Roman"/>
          <w:bCs/>
          <w:sz w:val="32"/>
          <w:szCs w:val="32"/>
        </w:rPr>
      </w:pPr>
    </w:p>
    <w:p>
      <w:pPr>
        <w:tabs>
          <w:tab w:val="left" w:pos="0"/>
        </w:tabs>
        <w:ind w:firstLine="600" w:firstLineChars="200"/>
        <w:rPr>
          <w:rFonts w:ascii="Times New Roman" w:hAnsi="Times New Roman" w:eastAsia="仿宋" w:cs="Times New Roman"/>
          <w:sz w:val="30"/>
          <w:szCs w:val="30"/>
        </w:rPr>
      </w:pPr>
    </w:p>
    <w:p>
      <w:pPr>
        <w:ind w:firstLine="640" w:firstLineChars="200"/>
        <w:rPr>
          <w:rFonts w:ascii="Times New Roman" w:hAnsi="Times New Roman" w:eastAsia="仿宋" w:cs="Times New Roman"/>
          <w:bCs/>
          <w:sz w:val="32"/>
          <w:szCs w:val="32"/>
        </w:rPr>
      </w:pPr>
    </w:p>
    <w:p>
      <w:pPr>
        <w:ind w:firstLine="540"/>
        <w:rPr>
          <w:rFonts w:ascii="Times New Roman" w:hAnsi="Times New Roman" w:eastAsia="仿宋" w:cs="Times New Roman"/>
          <w:sz w:val="32"/>
          <w:szCs w:val="32"/>
        </w:rPr>
      </w:pPr>
    </w:p>
    <w:p>
      <w:pPr>
        <w:ind w:firstLine="640" w:firstLineChars="200"/>
        <w:rPr>
          <w:rFonts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745FE5EC-FC39-48BE-85F7-AD5CDC44493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zOTg5ZDNlM2I5NjE4ZGE2MTk2OWFkZjgwMTQ3Y2YifQ=="/>
  </w:docVars>
  <w:rsids>
    <w:rsidRoot w:val="007B555B"/>
    <w:rsid w:val="00026617"/>
    <w:rsid w:val="0003095D"/>
    <w:rsid w:val="00034BAC"/>
    <w:rsid w:val="000374DF"/>
    <w:rsid w:val="000516AA"/>
    <w:rsid w:val="00053B1B"/>
    <w:rsid w:val="00055A60"/>
    <w:rsid w:val="0007732F"/>
    <w:rsid w:val="000944C5"/>
    <w:rsid w:val="000D24BB"/>
    <w:rsid w:val="000D579A"/>
    <w:rsid w:val="0010034F"/>
    <w:rsid w:val="001009AE"/>
    <w:rsid w:val="0011149A"/>
    <w:rsid w:val="00122761"/>
    <w:rsid w:val="001243B2"/>
    <w:rsid w:val="00125093"/>
    <w:rsid w:val="00144CB6"/>
    <w:rsid w:val="001704F6"/>
    <w:rsid w:val="00195D4D"/>
    <w:rsid w:val="001B60D1"/>
    <w:rsid w:val="001D699B"/>
    <w:rsid w:val="0024197F"/>
    <w:rsid w:val="002A039E"/>
    <w:rsid w:val="002D129E"/>
    <w:rsid w:val="00306B97"/>
    <w:rsid w:val="00310E90"/>
    <w:rsid w:val="003B31CA"/>
    <w:rsid w:val="003B36E4"/>
    <w:rsid w:val="003D6AE5"/>
    <w:rsid w:val="004137C6"/>
    <w:rsid w:val="004215C3"/>
    <w:rsid w:val="00495E76"/>
    <w:rsid w:val="00497AA7"/>
    <w:rsid w:val="004C021B"/>
    <w:rsid w:val="004C082C"/>
    <w:rsid w:val="004E1271"/>
    <w:rsid w:val="004F486F"/>
    <w:rsid w:val="00503859"/>
    <w:rsid w:val="00536BCA"/>
    <w:rsid w:val="00596344"/>
    <w:rsid w:val="005B0458"/>
    <w:rsid w:val="005B18CE"/>
    <w:rsid w:val="005D6073"/>
    <w:rsid w:val="00631252"/>
    <w:rsid w:val="00662E38"/>
    <w:rsid w:val="0068675C"/>
    <w:rsid w:val="006A4363"/>
    <w:rsid w:val="006B0091"/>
    <w:rsid w:val="006B7D06"/>
    <w:rsid w:val="006C3735"/>
    <w:rsid w:val="00723692"/>
    <w:rsid w:val="00740D4B"/>
    <w:rsid w:val="00743813"/>
    <w:rsid w:val="00760357"/>
    <w:rsid w:val="00767396"/>
    <w:rsid w:val="00795648"/>
    <w:rsid w:val="007B555B"/>
    <w:rsid w:val="007C3A61"/>
    <w:rsid w:val="007E399C"/>
    <w:rsid w:val="00846008"/>
    <w:rsid w:val="00855800"/>
    <w:rsid w:val="00885B44"/>
    <w:rsid w:val="00897745"/>
    <w:rsid w:val="008B4885"/>
    <w:rsid w:val="008D71E3"/>
    <w:rsid w:val="008E49AA"/>
    <w:rsid w:val="008E79AD"/>
    <w:rsid w:val="008F21E2"/>
    <w:rsid w:val="009114FE"/>
    <w:rsid w:val="009342AE"/>
    <w:rsid w:val="00936D41"/>
    <w:rsid w:val="00982C68"/>
    <w:rsid w:val="009859A4"/>
    <w:rsid w:val="009B4E9C"/>
    <w:rsid w:val="009C6ABE"/>
    <w:rsid w:val="009D570E"/>
    <w:rsid w:val="009E1956"/>
    <w:rsid w:val="009F3565"/>
    <w:rsid w:val="00A3622B"/>
    <w:rsid w:val="00A56AFA"/>
    <w:rsid w:val="00A67DAE"/>
    <w:rsid w:val="00A95F42"/>
    <w:rsid w:val="00AC5E67"/>
    <w:rsid w:val="00AD35C4"/>
    <w:rsid w:val="00AD739D"/>
    <w:rsid w:val="00AF32B1"/>
    <w:rsid w:val="00AF54CA"/>
    <w:rsid w:val="00B11468"/>
    <w:rsid w:val="00B375AD"/>
    <w:rsid w:val="00B37C41"/>
    <w:rsid w:val="00B65A1E"/>
    <w:rsid w:val="00B87F83"/>
    <w:rsid w:val="00BB11C1"/>
    <w:rsid w:val="00C00144"/>
    <w:rsid w:val="00C05153"/>
    <w:rsid w:val="00C40483"/>
    <w:rsid w:val="00C47D47"/>
    <w:rsid w:val="00C8258E"/>
    <w:rsid w:val="00C83422"/>
    <w:rsid w:val="00C87E35"/>
    <w:rsid w:val="00CB7553"/>
    <w:rsid w:val="00CC6065"/>
    <w:rsid w:val="00D25665"/>
    <w:rsid w:val="00D331D5"/>
    <w:rsid w:val="00D3390E"/>
    <w:rsid w:val="00D402EA"/>
    <w:rsid w:val="00D535F4"/>
    <w:rsid w:val="00D65BE1"/>
    <w:rsid w:val="00DA65E9"/>
    <w:rsid w:val="00DA7332"/>
    <w:rsid w:val="00E10ACD"/>
    <w:rsid w:val="00E12ABA"/>
    <w:rsid w:val="00E250F3"/>
    <w:rsid w:val="00E339C9"/>
    <w:rsid w:val="00E73CC0"/>
    <w:rsid w:val="00E8384B"/>
    <w:rsid w:val="00E935BC"/>
    <w:rsid w:val="00EA7BD9"/>
    <w:rsid w:val="00EB1542"/>
    <w:rsid w:val="00EB5437"/>
    <w:rsid w:val="00EE0302"/>
    <w:rsid w:val="00EE6570"/>
    <w:rsid w:val="00F327E7"/>
    <w:rsid w:val="00F32E5A"/>
    <w:rsid w:val="00F66054"/>
    <w:rsid w:val="00FB05CC"/>
    <w:rsid w:val="00FF1FF5"/>
    <w:rsid w:val="02115DD7"/>
    <w:rsid w:val="0539676E"/>
    <w:rsid w:val="07966D78"/>
    <w:rsid w:val="0E41131F"/>
    <w:rsid w:val="0FC20A07"/>
    <w:rsid w:val="12231693"/>
    <w:rsid w:val="246F14C2"/>
    <w:rsid w:val="28506677"/>
    <w:rsid w:val="388C054E"/>
    <w:rsid w:val="470D6E20"/>
    <w:rsid w:val="49585194"/>
    <w:rsid w:val="54C44C86"/>
    <w:rsid w:val="59D245DD"/>
    <w:rsid w:val="5AAB0390"/>
    <w:rsid w:val="5DC80FAB"/>
    <w:rsid w:val="6AFA571E"/>
    <w:rsid w:val="748C6FAE"/>
    <w:rsid w:val="748D5D90"/>
    <w:rsid w:val="759E738C"/>
    <w:rsid w:val="7AA67F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4F1C8-3EF0-4CD7-9704-8346318F857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285</Words>
  <Characters>1628</Characters>
  <Lines>13</Lines>
  <Paragraphs>3</Paragraphs>
  <TotalTime>23</TotalTime>
  <ScaleCrop>false</ScaleCrop>
  <LinksUpToDate>false</LinksUpToDate>
  <CharactersWithSpaces>1910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2023-06-20T03:31:00Z</dcterms:created>
  <dc:creator>pxb</dc:creator>
  <cp:lastModifiedBy>行走的小陀螺</cp:lastModifiedBy>
  <cp:lastPrinted>2023-06-26T03:28:00Z</cp:lastPrinted>
  <dcterms:modified xsi:type="dcterms:W3CDTF">2024-05-29T08:01:31Z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032369E8BC404B44AB619B2287E23D08_12</vt:lpwstr>
  </property>
</Properties>
</file>