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479" w:rsidRDefault="009C3424">
      <w:pPr>
        <w:spacing w:line="64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sidR="00B832BF">
        <w:rPr>
          <w:rFonts w:ascii="Times New Roman" w:eastAsia="黑体" w:hAnsi="Times New Roman" w:cs="Times New Roman"/>
          <w:sz w:val="32"/>
          <w:szCs w:val="32"/>
        </w:rPr>
        <w:t>2</w:t>
      </w:r>
    </w:p>
    <w:p w:rsidR="00FF3479" w:rsidRDefault="00FF3479">
      <w:pPr>
        <w:spacing w:line="640" w:lineRule="exact"/>
        <w:rPr>
          <w:rFonts w:ascii="Times New Roman" w:eastAsia="方正仿宋_GBK" w:hAnsi="Times New Roman" w:cs="Times New Roman"/>
          <w:sz w:val="32"/>
          <w:szCs w:val="32"/>
        </w:rPr>
      </w:pPr>
      <w:bookmarkStart w:id="0" w:name="_GoBack"/>
      <w:bookmarkEnd w:id="0"/>
    </w:p>
    <w:p w:rsidR="00FF3479" w:rsidRDefault="009C3424">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2023</w:t>
      </w:r>
      <w:r>
        <w:rPr>
          <w:rFonts w:ascii="Times New Roman" w:eastAsia="方正小标宋_GBK" w:hAnsi="Times New Roman" w:cs="Times New Roman"/>
          <w:sz w:val="44"/>
          <w:szCs w:val="44"/>
        </w:rPr>
        <w:t>年安徽省重点研究与开发计划</w:t>
      </w:r>
    </w:p>
    <w:p w:rsidR="00FF3479" w:rsidRDefault="009C3424">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（社会发展领域）项目申报指南</w:t>
      </w:r>
    </w:p>
    <w:p w:rsidR="00FF3479" w:rsidRDefault="00FF3479">
      <w:pPr>
        <w:spacing w:line="640" w:lineRule="exact"/>
        <w:rPr>
          <w:rFonts w:ascii="Times New Roman" w:eastAsia="方正仿宋_GBK" w:hAnsi="Times New Roman" w:cs="Times New Roman"/>
          <w:sz w:val="32"/>
          <w:szCs w:val="32"/>
        </w:rPr>
      </w:pPr>
    </w:p>
    <w:p w:rsidR="00FF3479" w:rsidRDefault="009C3424">
      <w:pPr>
        <w:spacing w:line="6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一、生命健康领域</w:t>
      </w:r>
    </w:p>
    <w:p w:rsidR="00FF3479" w:rsidRDefault="009C3424">
      <w:pPr>
        <w:spacing w:line="64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1. </w:t>
      </w:r>
      <w:r>
        <w:rPr>
          <w:rFonts w:ascii="Times New Roman" w:eastAsia="方正楷体_GBK" w:hAnsi="Times New Roman" w:cs="Times New Roman"/>
          <w:sz w:val="32"/>
          <w:szCs w:val="32"/>
        </w:rPr>
        <w:t>创新药物</w:t>
      </w:r>
    </w:p>
    <w:p w:rsidR="00FF3479" w:rsidRDefault="009C3424">
      <w:pPr>
        <w:spacing w:line="64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围绕抗体药物、疫苗、基因治疗、重组蛋白等生物药和高端化学制剂、高端原料药等化学创新药，基于基因组学、结构生物学、人工智能等技术手段，开展药物新靶点、新结构、新机制、新制剂研究，完成药物在细胞、动物模型水平有效性评价，发现确认候选药物；针对具有良好研究基础的候选新药，开展药效学、制备工艺、安全性评价等临床前研究；按照国家药品监管部门许可的创新药物临床试验方案，组织开展</w:t>
      </w:r>
      <w:r>
        <w:rPr>
          <w:rFonts w:ascii="Times New Roman" w:eastAsia="方正仿宋_GBK" w:hAnsi="Times New Roman" w:cs="Times New Roman"/>
          <w:sz w:val="32"/>
          <w:szCs w:val="32"/>
        </w:rPr>
        <w:t>Ⅰ</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Ⅱ</w:t>
      </w:r>
      <w:r>
        <w:rPr>
          <w:rFonts w:ascii="Times New Roman" w:eastAsia="方正仿宋_GBK" w:hAnsi="Times New Roman" w:cs="Times New Roman"/>
          <w:sz w:val="32"/>
          <w:szCs w:val="32"/>
        </w:rPr>
        <w:t>期药物临床试验。</w:t>
      </w:r>
    </w:p>
    <w:p w:rsidR="00FF3479" w:rsidRDefault="009C3424">
      <w:pPr>
        <w:spacing w:line="64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完成药物新靶点的发现及确认研究，获得候选药物相关发明专利申请号及候选药物有效性评价报告；完成基于新机制、新靶点</w:t>
      </w:r>
      <w:r>
        <w:rPr>
          <w:rFonts w:ascii="Times New Roman" w:eastAsia="方正仿宋_GBK" w:hAnsi="Times New Roman" w:cs="Times New Roman"/>
          <w:sz w:val="32"/>
          <w:szCs w:val="32"/>
        </w:rPr>
        <w:t>、新结构、新类型的候选新药临床前研究，获得药物临床试验批件；完成创新药物（注册分类</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类或</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类）</w:t>
      </w:r>
      <w:r>
        <w:rPr>
          <w:rFonts w:ascii="Times New Roman" w:eastAsia="方正仿宋_GBK" w:hAnsi="Times New Roman" w:cs="Times New Roman"/>
          <w:sz w:val="32"/>
          <w:szCs w:val="32"/>
        </w:rPr>
        <w:t>Ⅰ</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Ⅱ</w:t>
      </w:r>
      <w:r>
        <w:rPr>
          <w:rFonts w:ascii="Times New Roman" w:eastAsia="方正仿宋_GBK" w:hAnsi="Times New Roman" w:cs="Times New Roman"/>
          <w:sz w:val="32"/>
          <w:szCs w:val="32"/>
        </w:rPr>
        <w:t>期临床试验并取得临床试验总结报告或新药注册批件。</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 xml:space="preserve">2. </w:t>
      </w:r>
      <w:r>
        <w:rPr>
          <w:rFonts w:ascii="Times New Roman" w:eastAsia="方正楷体_GBK" w:hAnsi="Times New Roman" w:cs="Times New Roman"/>
          <w:sz w:val="32"/>
          <w:szCs w:val="32"/>
        </w:rPr>
        <w:t>创新医疗器械</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围绕临床急需的医学影像类、诊断治疗类、植介入类等仪器设备及高端新型医用材料，开展</w:t>
      </w:r>
      <w:r>
        <w:rPr>
          <w:rFonts w:ascii="Times New Roman" w:eastAsia="方正仿宋_GBK" w:hAnsi="Times New Roman" w:cs="Times New Roman"/>
          <w:sz w:val="32"/>
          <w:szCs w:val="32"/>
        </w:rPr>
        <w:t>Ⅱ</w:t>
      </w:r>
      <w:r>
        <w:rPr>
          <w:rFonts w:ascii="Times New Roman" w:eastAsia="方正仿宋_GBK" w:hAnsi="Times New Roman" w:cs="Times New Roman"/>
          <w:sz w:val="32"/>
          <w:szCs w:val="32"/>
        </w:rPr>
        <w:t>类及以上医疗器械实验室样机或样品研发，并完成主要安全性和诊疗性能指标第三方评价；进一步优化样机的关键技术参数，明确并验证相关生产工艺，研制出工程化产品；开展以产品注册申报为导向的</w:t>
      </w:r>
      <w:r>
        <w:rPr>
          <w:rFonts w:ascii="Times New Roman" w:eastAsia="方正仿宋_GBK" w:hAnsi="Times New Roman" w:cs="Times New Roman"/>
          <w:sz w:val="32"/>
          <w:szCs w:val="32"/>
        </w:rPr>
        <w:t>Ⅱ</w:t>
      </w:r>
      <w:r>
        <w:rPr>
          <w:rFonts w:ascii="Times New Roman" w:eastAsia="方正仿宋_GBK" w:hAnsi="Times New Roman" w:cs="Times New Roman"/>
          <w:sz w:val="32"/>
          <w:szCs w:val="32"/>
        </w:rPr>
        <w:t>类及以上医疗器械临床试验研究，验证其临床的安全性与有效性，并完成临床评</w:t>
      </w:r>
      <w:r>
        <w:rPr>
          <w:rFonts w:ascii="Times New Roman" w:eastAsia="方正仿宋_GBK" w:hAnsi="Times New Roman" w:cs="Times New Roman"/>
          <w:sz w:val="32"/>
          <w:szCs w:val="32"/>
        </w:rPr>
        <w:t>价。</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完成</w:t>
      </w:r>
      <w:r>
        <w:rPr>
          <w:rFonts w:ascii="Times New Roman" w:eastAsia="方正仿宋_GBK" w:hAnsi="Times New Roman" w:cs="Times New Roman"/>
          <w:sz w:val="32"/>
          <w:szCs w:val="32"/>
        </w:rPr>
        <w:t>Ⅱ</w:t>
      </w:r>
      <w:r>
        <w:rPr>
          <w:rFonts w:ascii="Times New Roman" w:eastAsia="方正仿宋_GBK" w:hAnsi="Times New Roman" w:cs="Times New Roman"/>
          <w:sz w:val="32"/>
          <w:szCs w:val="32"/>
        </w:rPr>
        <w:t>类及以上医疗器械实验室样机开发，获得发明专利授权，并取得第三方检测机构出具的主要安全性和诊疗性能指标评价报告；完成</w:t>
      </w:r>
      <w:r>
        <w:rPr>
          <w:rFonts w:ascii="Times New Roman" w:eastAsia="方正仿宋_GBK" w:hAnsi="Times New Roman" w:cs="Times New Roman"/>
          <w:sz w:val="32"/>
          <w:szCs w:val="32"/>
        </w:rPr>
        <w:t>Ⅱ</w:t>
      </w:r>
      <w:r>
        <w:rPr>
          <w:rFonts w:ascii="Times New Roman" w:eastAsia="方正仿宋_GBK" w:hAnsi="Times New Roman" w:cs="Times New Roman"/>
          <w:sz w:val="32"/>
          <w:szCs w:val="32"/>
        </w:rPr>
        <w:t>类及以上医疗器械工程化产品研制，取得法定第三方检测机构出具的型检报告和医疗器械临床试验备案凭证或批件；完成</w:t>
      </w:r>
      <w:r>
        <w:rPr>
          <w:rFonts w:ascii="Times New Roman" w:eastAsia="方正仿宋_GBK" w:hAnsi="Times New Roman" w:cs="Times New Roman"/>
          <w:sz w:val="32"/>
          <w:szCs w:val="32"/>
        </w:rPr>
        <w:t>Ⅱ</w:t>
      </w:r>
      <w:r>
        <w:rPr>
          <w:rFonts w:ascii="Times New Roman" w:eastAsia="方正仿宋_GBK" w:hAnsi="Times New Roman" w:cs="Times New Roman"/>
          <w:sz w:val="32"/>
          <w:szCs w:val="32"/>
        </w:rPr>
        <w:t>类及以上医疗器械的注册临床评价，进入创新医疗器械审批通道或取得医疗器械注册批件。</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3. </w:t>
      </w:r>
      <w:r>
        <w:rPr>
          <w:rFonts w:ascii="Times New Roman" w:eastAsia="方正楷体_GBK" w:hAnsi="Times New Roman" w:cs="Times New Roman"/>
          <w:sz w:val="32"/>
          <w:szCs w:val="32"/>
        </w:rPr>
        <w:t>药物研发共性技术</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以新型药物研发为导向，围绕安全性、递送效率、靶向性等开展研究，建立核酸类药物新型递送系统，并在动物模型中完成有效性和安全性评价；运用大数据、自然语言处</w:t>
      </w:r>
      <w:r>
        <w:rPr>
          <w:rFonts w:ascii="Times New Roman" w:eastAsia="方正仿宋_GBK" w:hAnsi="Times New Roman" w:cs="Times New Roman"/>
          <w:sz w:val="32"/>
          <w:szCs w:val="32"/>
        </w:rPr>
        <w:t>理、图像识别等</w:t>
      </w:r>
      <w:r>
        <w:rPr>
          <w:rFonts w:ascii="Times New Roman" w:eastAsia="方正仿宋_GBK" w:hAnsi="Times New Roman" w:cs="Times New Roman"/>
          <w:sz w:val="32"/>
          <w:szCs w:val="32"/>
        </w:rPr>
        <w:t>AI</w:t>
      </w:r>
      <w:r>
        <w:rPr>
          <w:rFonts w:ascii="Times New Roman" w:eastAsia="方正仿宋_GBK" w:hAnsi="Times New Roman" w:cs="Times New Roman"/>
          <w:sz w:val="32"/>
          <w:szCs w:val="32"/>
        </w:rPr>
        <w:t>技术，开展先导化合物筛选、药物吸收、分配、代谢、排泄、毒性预测等研究，开发人工智能药物研发关键技术体系。</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lastRenderedPageBreak/>
        <w:t>研究目标：</w:t>
      </w:r>
      <w:r>
        <w:rPr>
          <w:rFonts w:ascii="Times New Roman" w:eastAsia="方正仿宋_GBK" w:hAnsi="Times New Roman" w:cs="Times New Roman"/>
          <w:sz w:val="32"/>
          <w:szCs w:val="32"/>
        </w:rPr>
        <w:t>开发具有自主知识产权的</w:t>
      </w:r>
      <w:r>
        <w:rPr>
          <w:rFonts w:ascii="Times New Roman" w:eastAsia="方正仿宋_GBK" w:hAnsi="Times New Roman" w:cs="Times New Roman"/>
          <w:sz w:val="32"/>
          <w:szCs w:val="32"/>
        </w:rPr>
        <w:t>mRNA</w:t>
      </w:r>
      <w:r>
        <w:rPr>
          <w:rFonts w:ascii="Times New Roman" w:eastAsia="方正仿宋_GBK" w:hAnsi="Times New Roman" w:cs="Times New Roman"/>
          <w:sz w:val="32"/>
          <w:szCs w:val="32"/>
        </w:rPr>
        <w:t>等核酸类药物新型递送系统，取得发明专利授权及有效性和安全性评价报告；建成具有自主知识产权的人工智能药物研发平台系统，取得药物分子设计和筛选验证报告，完成不少于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个药物分子设计和筛选的验证。</w:t>
      </w:r>
    </w:p>
    <w:p w:rsidR="00FF3479" w:rsidRDefault="009C3424">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二、碳达峰碳中和领域</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1. </w:t>
      </w:r>
      <w:r>
        <w:rPr>
          <w:rFonts w:ascii="Times New Roman" w:eastAsia="方正楷体_GBK" w:hAnsi="Times New Roman" w:cs="Times New Roman"/>
          <w:sz w:val="32"/>
          <w:szCs w:val="32"/>
        </w:rPr>
        <w:t>新能源</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开发高效低成本晶硅电池、钙钛矿太阳能电池及生产技术；研发构网型光伏逆变装备及规模化构网型光伏发电系统稳定灵活控制</w:t>
      </w:r>
      <w:r>
        <w:rPr>
          <w:rFonts w:ascii="Times New Roman" w:eastAsia="方正仿宋_GBK" w:hAnsi="Times New Roman" w:cs="Times New Roman"/>
          <w:sz w:val="32"/>
          <w:szCs w:val="32"/>
        </w:rPr>
        <w:t>技术；开发可再生能源制氢技术、固体材料及有机载体储氢技术、氢燃料电池电堆关键材料和零部件；开展锂离子电池、钠离子电池、新型水系离子电池等先进储能关键技术研究。</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完成高效稳定钙钛矿太阳能电池制备及关键装备研发与示范应用，形成构网型光伏逆变器装备与系统控制技术；形成适应宽功率变化的高效制氢制氨技术，完成高效</w:t>
      </w:r>
      <w:r>
        <w:rPr>
          <w:rFonts w:ascii="Times New Roman" w:eastAsia="方正仿宋_GBK" w:hAnsi="Times New Roman" w:cs="Times New Roman"/>
          <w:sz w:val="32"/>
          <w:szCs w:val="32"/>
        </w:rPr>
        <w:t>PEM</w:t>
      </w:r>
      <w:r>
        <w:rPr>
          <w:rFonts w:ascii="Times New Roman" w:eastAsia="方正仿宋_GBK" w:hAnsi="Times New Roman" w:cs="Times New Roman"/>
          <w:sz w:val="32"/>
          <w:szCs w:val="32"/>
        </w:rPr>
        <w:t>电解水制氢系统样机、大功率高性能氢燃料电池电堆研发，实现在重点领域示范应用；完成低成本高安全长寿命锂离子电池、钠离子电池、新型水系离子电池等关键技术开发，实现电池成组能力与商业化应用。</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2. </w:t>
      </w:r>
      <w:r>
        <w:rPr>
          <w:rFonts w:ascii="Times New Roman" w:eastAsia="方正楷体_GBK" w:hAnsi="Times New Roman" w:cs="Times New Roman"/>
          <w:sz w:val="32"/>
          <w:szCs w:val="32"/>
        </w:rPr>
        <w:t>工业流程再造和建筑低碳</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面向钢铁、建材、煤电、有色、化工等高能</w:t>
      </w:r>
      <w:r>
        <w:rPr>
          <w:rFonts w:ascii="Times New Roman" w:eastAsia="方正仿宋_GBK" w:hAnsi="Times New Roman" w:cs="Times New Roman"/>
          <w:sz w:val="32"/>
          <w:szCs w:val="32"/>
        </w:rPr>
        <w:lastRenderedPageBreak/>
        <w:t>耗高排放行业，开展低碳燃料与原料替代、高效用能装备与节能工艺、工业余压余热利用等余能深度回收与资源化利用、全产业链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跨产业低碳技术集成耦合与优化、工业流程能源消耗与污染物排放智能优化管控、人工智能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大数据</w:t>
      </w:r>
      <w:r>
        <w:rPr>
          <w:rFonts w:ascii="Times New Roman" w:eastAsia="方正仿宋_GBK" w:hAnsi="Times New Roman" w:cs="Times New Roman"/>
          <w:sz w:val="32"/>
          <w:szCs w:val="32"/>
        </w:rPr>
        <w:t>-5G</w:t>
      </w:r>
      <w:r>
        <w:rPr>
          <w:rFonts w:ascii="Times New Roman" w:eastAsia="方正仿宋_GBK" w:hAnsi="Times New Roman" w:cs="Times New Roman"/>
          <w:sz w:val="32"/>
          <w:szCs w:val="32"/>
        </w:rPr>
        <w:t>等新一代信息技术与绿色低碳技术交叉融合创新等工业流程再造关键技术及装备开发。面向绿色建筑、装配式建筑、超低能耗建筑等方向，开展高效建筑环境算法平台、高性能围护结构、光储直柔等关键技术及装备研发。</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形成一批低碳能源开发与替</w:t>
      </w:r>
      <w:r>
        <w:rPr>
          <w:rFonts w:ascii="Times New Roman" w:eastAsia="方正仿宋_GBK" w:hAnsi="Times New Roman" w:cs="Times New Roman"/>
          <w:sz w:val="32"/>
          <w:szCs w:val="32"/>
        </w:rPr>
        <w:t>代、余热余能深度回收与利用、工业流程能源消耗智能优化管控技术与装备以及建筑低碳节能关键技术、能源利用装备，推进重点行业用能设备节能增效，研究成果在重点领域应用示范，减少能源消耗和温室气体排放，推动我省高耗能高排放行业绿色低碳发展。</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3. </w:t>
      </w:r>
      <w:r>
        <w:rPr>
          <w:rFonts w:ascii="Times New Roman" w:eastAsia="方正楷体_GBK" w:hAnsi="Times New Roman" w:cs="Times New Roman"/>
          <w:sz w:val="32"/>
          <w:szCs w:val="32"/>
        </w:rPr>
        <w:t>碳捕集利用</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聚焦碳捕集利用的全生命周期能效提升和成本降低，研发低能耗、高效率、低损失、安全可靠的碳捕集先进材料和高通量、低压降、大型高效</w:t>
      </w:r>
      <w:r>
        <w:rPr>
          <w:rFonts w:ascii="Times New Roman" w:eastAsia="方正仿宋_GBK" w:hAnsi="Times New Roman" w:cs="Times New Roman"/>
          <w:sz w:val="32"/>
          <w:szCs w:val="32"/>
        </w:rPr>
        <w:t>CO</w:t>
      </w:r>
      <w:r>
        <w:rPr>
          <w:rFonts w:ascii="Times New Roman" w:eastAsia="方正仿宋_GBK" w:hAnsi="Times New Roman" w:cs="Times New Roman"/>
          <w:sz w:val="32"/>
          <w:szCs w:val="32"/>
          <w:vertAlign w:val="subscript"/>
        </w:rPr>
        <w:t>2</w:t>
      </w:r>
      <w:r>
        <w:rPr>
          <w:rFonts w:ascii="Times New Roman" w:eastAsia="方正仿宋_GBK" w:hAnsi="Times New Roman" w:cs="Times New Roman"/>
          <w:sz w:val="32"/>
          <w:szCs w:val="32"/>
        </w:rPr>
        <w:t>分离设备和换热设备；开发</w:t>
      </w:r>
      <w:r>
        <w:rPr>
          <w:rFonts w:ascii="Times New Roman" w:eastAsia="方正仿宋_GBK" w:hAnsi="Times New Roman" w:cs="Times New Roman"/>
          <w:sz w:val="32"/>
          <w:szCs w:val="32"/>
        </w:rPr>
        <w:t>CO</w:t>
      </w:r>
      <w:r>
        <w:rPr>
          <w:rFonts w:ascii="Times New Roman" w:eastAsia="方正仿宋_GBK" w:hAnsi="Times New Roman" w:cs="Times New Roman"/>
          <w:sz w:val="32"/>
          <w:szCs w:val="32"/>
          <w:vertAlign w:val="subscript"/>
        </w:rPr>
        <w:t>2</w:t>
      </w:r>
      <w:r>
        <w:rPr>
          <w:rFonts w:ascii="Times New Roman" w:eastAsia="方正仿宋_GBK" w:hAnsi="Times New Roman" w:cs="Times New Roman"/>
          <w:sz w:val="32"/>
          <w:szCs w:val="32"/>
        </w:rPr>
        <w:t>资源化利用技术；研发重点行业温室气体高精度在线监测技术及设备，研发碳源、碳汇星地一体化监测评</w:t>
      </w:r>
      <w:r>
        <w:rPr>
          <w:rFonts w:ascii="Times New Roman" w:eastAsia="方正仿宋_GBK" w:hAnsi="Times New Roman" w:cs="Times New Roman"/>
          <w:sz w:val="32"/>
          <w:szCs w:val="32"/>
        </w:rPr>
        <w:t>估技术。</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形成先进吸收剂、吸附剂等核心碳捕集材料、</w:t>
      </w:r>
      <w:r>
        <w:rPr>
          <w:rFonts w:ascii="Times New Roman" w:eastAsia="方正仿宋_GBK" w:hAnsi="Times New Roman" w:cs="Times New Roman"/>
          <w:sz w:val="32"/>
          <w:szCs w:val="32"/>
        </w:rPr>
        <w:lastRenderedPageBreak/>
        <w:t>高效碳捕集装备、新型节能工艺等关键捕集技术；形成新型</w:t>
      </w:r>
      <w:r>
        <w:rPr>
          <w:rFonts w:ascii="Times New Roman" w:eastAsia="方正仿宋_GBK" w:hAnsi="Times New Roman" w:cs="Times New Roman"/>
          <w:sz w:val="32"/>
          <w:szCs w:val="32"/>
        </w:rPr>
        <w:t>CO</w:t>
      </w:r>
      <w:r>
        <w:rPr>
          <w:rFonts w:ascii="Times New Roman" w:eastAsia="方正仿宋_GBK" w:hAnsi="Times New Roman" w:cs="Times New Roman"/>
          <w:sz w:val="32"/>
          <w:szCs w:val="32"/>
          <w:vertAlign w:val="subscript"/>
        </w:rPr>
        <w:t>2</w:t>
      </w:r>
      <w:r>
        <w:rPr>
          <w:rFonts w:ascii="Times New Roman" w:eastAsia="方正仿宋_GBK" w:hAnsi="Times New Roman" w:cs="Times New Roman"/>
          <w:sz w:val="32"/>
          <w:szCs w:val="32"/>
        </w:rPr>
        <w:t>矿化工业固废、先进</w:t>
      </w:r>
      <w:r>
        <w:rPr>
          <w:rFonts w:ascii="Times New Roman" w:eastAsia="方正仿宋_GBK" w:hAnsi="Times New Roman" w:cs="Times New Roman"/>
          <w:sz w:val="32"/>
          <w:szCs w:val="32"/>
        </w:rPr>
        <w:t>CO</w:t>
      </w:r>
      <w:r>
        <w:rPr>
          <w:rFonts w:ascii="Times New Roman" w:eastAsia="方正仿宋_GBK" w:hAnsi="Times New Roman" w:cs="Times New Roman"/>
          <w:sz w:val="32"/>
          <w:szCs w:val="32"/>
          <w:vertAlign w:val="subscript"/>
        </w:rPr>
        <w:t>2</w:t>
      </w:r>
      <w:r>
        <w:rPr>
          <w:rFonts w:ascii="Times New Roman" w:eastAsia="方正仿宋_GBK" w:hAnsi="Times New Roman" w:cs="Times New Roman"/>
          <w:sz w:val="32"/>
          <w:szCs w:val="32"/>
        </w:rPr>
        <w:t>催化转化等关键利用技术；面向重点行业开展烟气</w:t>
      </w:r>
      <w:r>
        <w:rPr>
          <w:rFonts w:ascii="Times New Roman" w:eastAsia="方正仿宋_GBK" w:hAnsi="Times New Roman" w:cs="Times New Roman"/>
          <w:sz w:val="32"/>
          <w:szCs w:val="32"/>
        </w:rPr>
        <w:t>CO</w:t>
      </w:r>
      <w:r>
        <w:rPr>
          <w:rFonts w:ascii="Times New Roman" w:eastAsia="方正仿宋_GBK" w:hAnsi="Times New Roman" w:cs="Times New Roman"/>
          <w:sz w:val="32"/>
          <w:szCs w:val="32"/>
          <w:vertAlign w:val="subscript"/>
        </w:rPr>
        <w:t>2</w:t>
      </w:r>
      <w:r>
        <w:rPr>
          <w:rFonts w:ascii="Times New Roman" w:eastAsia="方正仿宋_GBK" w:hAnsi="Times New Roman" w:cs="Times New Roman"/>
          <w:sz w:val="32"/>
          <w:szCs w:val="32"/>
        </w:rPr>
        <w:t>低成本捕集和高附加值利用，形成捕集率和转化率大幅提升，捕集能耗大幅降低，建成</w:t>
      </w:r>
      <w:r>
        <w:rPr>
          <w:rFonts w:ascii="Times New Roman" w:eastAsia="方正仿宋_GBK" w:hAnsi="Times New Roman" w:cs="Times New Roman"/>
          <w:sz w:val="32"/>
          <w:szCs w:val="32"/>
        </w:rPr>
        <w:t>CO</w:t>
      </w:r>
      <w:r>
        <w:rPr>
          <w:rFonts w:ascii="Times New Roman" w:eastAsia="方正仿宋_GBK" w:hAnsi="Times New Roman" w:cs="Times New Roman"/>
          <w:sz w:val="32"/>
          <w:szCs w:val="32"/>
          <w:vertAlign w:val="subscript"/>
        </w:rPr>
        <w:t>2</w:t>
      </w:r>
      <w:r>
        <w:rPr>
          <w:rFonts w:ascii="Times New Roman" w:eastAsia="方正仿宋_GBK" w:hAnsi="Times New Roman" w:cs="Times New Roman"/>
          <w:sz w:val="32"/>
          <w:szCs w:val="32"/>
        </w:rPr>
        <w:t>捕集与资源化利用集成示范；研制高精度温室气体在线监测仪，</w:t>
      </w:r>
      <w:r>
        <w:rPr>
          <w:rFonts w:ascii="Times New Roman" w:eastAsia="方正仿宋_GBK" w:hAnsi="Times New Roman" w:cs="Times New Roman"/>
          <w:sz w:val="32"/>
          <w:szCs w:val="32"/>
        </w:rPr>
        <w:t>CO</w:t>
      </w:r>
      <w:r>
        <w:rPr>
          <w:rFonts w:ascii="Times New Roman" w:eastAsia="方正仿宋_GBK" w:hAnsi="Times New Roman" w:cs="Times New Roman"/>
          <w:sz w:val="32"/>
          <w:szCs w:val="32"/>
          <w:vertAlign w:val="subscript"/>
        </w:rPr>
        <w:t>2</w:t>
      </w:r>
      <w:r>
        <w:rPr>
          <w:rFonts w:ascii="Times New Roman" w:eastAsia="方正仿宋_GBK" w:hAnsi="Times New Roman" w:cs="Times New Roman"/>
          <w:sz w:val="32"/>
          <w:szCs w:val="32"/>
        </w:rPr>
        <w:t>高精度、抗干扰、稳定可靠等关键技术指标达到国际先进水平；建立区域</w:t>
      </w:r>
      <w:r>
        <w:rPr>
          <w:rFonts w:ascii="Times New Roman" w:eastAsia="方正仿宋_GBK" w:hAnsi="Times New Roman" w:cs="Times New Roman"/>
          <w:sz w:val="32"/>
          <w:szCs w:val="32"/>
        </w:rPr>
        <w:t>CO</w:t>
      </w:r>
      <w:r>
        <w:rPr>
          <w:rFonts w:ascii="Times New Roman" w:eastAsia="方正仿宋_GBK" w:hAnsi="Times New Roman" w:cs="Times New Roman"/>
          <w:sz w:val="32"/>
          <w:szCs w:val="32"/>
          <w:vertAlign w:val="subscript"/>
        </w:rPr>
        <w:t>2</w:t>
      </w:r>
      <w:r>
        <w:rPr>
          <w:rFonts w:ascii="Times New Roman" w:eastAsia="方正仿宋_GBK" w:hAnsi="Times New Roman" w:cs="Times New Roman"/>
          <w:sz w:val="32"/>
          <w:szCs w:val="32"/>
        </w:rPr>
        <w:t>天地一体化监测技术平台，开展典型行业产业化示范应用，完善温室气体立体监测评估体系。</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4. </w:t>
      </w:r>
      <w:r>
        <w:rPr>
          <w:rFonts w:ascii="Times New Roman" w:eastAsia="方正楷体_GBK" w:hAnsi="Times New Roman" w:cs="Times New Roman"/>
          <w:sz w:val="32"/>
          <w:szCs w:val="32"/>
        </w:rPr>
        <w:t>生态环境</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聚焦我省大气、水、土壤与固废防治需求，开展多污染物天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空一体化监测装备及大气臭氧污染快速监测装备研发，开展多污染物综合治理关键技术及智慧监测系统开发；开展水环境和新型水生生物在线监测预警设备研发及集成；开发高效、低能耗污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废水处理与资源化利用关键技术与成套装备与示范，开展蓝藻爆发机理和防控技术研究；开展新污染物检测和治理关键技术装备研发；开展城市工业污染场地修复材料关键技术研究；开发多源固废协同处置与资源化利用关键技术集成与应用研究；开展低污染、高效环保水处理膜材料技术及示范应用。</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完成大气、水、土壤、固废、新污染物、新型水生生物等监测装备的研发与应用示范，并获得相关发明专利，形成相关技术标准，研究成果在重点流域应用示范；</w:t>
      </w:r>
      <w:r>
        <w:rPr>
          <w:rFonts w:ascii="Times New Roman" w:eastAsia="方正仿宋_GBK" w:hAnsi="Times New Roman" w:cs="Times New Roman"/>
          <w:sz w:val="32"/>
          <w:szCs w:val="32"/>
        </w:rPr>
        <w:lastRenderedPageBreak/>
        <w:t>完成大气、水、多源固废等多污染物治理及资源化利用成套装备研发及应用示范，对生态环境质量改善效果明显；开发低污染、高效环保新材料，应用于工业污染场地修复及水处理领域，降低区域污染风险，并取得良好的经济效益。</w:t>
      </w:r>
    </w:p>
    <w:p w:rsidR="00FF3479" w:rsidRDefault="009C3424">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三、公共安全领域</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1. </w:t>
      </w:r>
      <w:r>
        <w:rPr>
          <w:rFonts w:ascii="Times New Roman" w:eastAsia="方正楷体_GBK" w:hAnsi="Times New Roman" w:cs="Times New Roman"/>
          <w:sz w:val="32"/>
          <w:szCs w:val="32"/>
        </w:rPr>
        <w:t>安全生产</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围绕重大安全生产事故灾害综合防治，支持矿井采空区灾害高效防治、深部矿井支护与灾害防控智能化、矿山边坡稳定性监测分析、智能</w:t>
      </w:r>
      <w:r>
        <w:rPr>
          <w:rFonts w:ascii="Times New Roman" w:eastAsia="方正仿宋_GBK" w:hAnsi="Times New Roman" w:cs="Times New Roman"/>
          <w:sz w:val="32"/>
          <w:szCs w:val="32"/>
        </w:rPr>
        <w:t>矿山综合信息集成等技术研究与集成装备研发；围绕危化品、能源、特种设备等灾害监测预警与综合防控，支持关键设备的智能安全生产监控、工业管道损伤智能检测与评估、气体燃料工业炉安全生产监测、危险化工隐患预测预警等技术研究与系统软硬件研发。</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完成安全生产监测预警、灾害高效防控关键技术与装备研制，解决复杂工业生产场景危险源辨识、事故监测预警、应急响应处置等难题，获得自主知识产权，形成相关技术标准，研究成果在相关产业重点领域应用示范，推进我省安全生产技术与产业的快速发展。</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2. </w:t>
      </w:r>
      <w:r>
        <w:rPr>
          <w:rFonts w:ascii="Times New Roman" w:eastAsia="方正楷体_GBK" w:hAnsi="Times New Roman" w:cs="Times New Roman"/>
          <w:sz w:val="32"/>
          <w:szCs w:val="32"/>
        </w:rPr>
        <w:t>防灾减灾救灾</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围绕典型</w:t>
      </w:r>
      <w:r>
        <w:rPr>
          <w:rFonts w:ascii="Times New Roman" w:eastAsia="方正仿宋_GBK" w:hAnsi="Times New Roman" w:cs="Times New Roman"/>
          <w:sz w:val="32"/>
          <w:szCs w:val="32"/>
        </w:rPr>
        <w:t>气象灾害和恶劣天气的精细化探测监测、预报预警，支持堤坝渗漏智能巡检预警等关键技术与装备研发；围绕典型灾害场景，支持卫星遥感大数据处理关</w:t>
      </w:r>
      <w:r>
        <w:rPr>
          <w:rFonts w:ascii="Times New Roman" w:eastAsia="方正仿宋_GBK" w:hAnsi="Times New Roman" w:cs="Times New Roman"/>
          <w:sz w:val="32"/>
          <w:szCs w:val="32"/>
        </w:rPr>
        <w:lastRenderedPageBreak/>
        <w:t>键技术及应用系统研发；围绕火灾风险评估与预警、烟火复合识别、清洁快速灭火等消防技术与装备，支持城市多场景储能系统全生命周期火灾防控技术研发，支持无人值守消防设备、高空智能灭火救援技术与装备研发。</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完成堤坝渗漏智能监测预警系统、建筑消防设施关键部件安全监测与诊断装备、灾害监测遥感数据应用系统、电池专用灭火系统、无人值守消防业务赋能装备等灾情感知、大数据分析诊断、灾情防</w:t>
      </w:r>
      <w:r>
        <w:rPr>
          <w:rFonts w:ascii="Times New Roman" w:eastAsia="方正仿宋_GBK" w:hAnsi="Times New Roman" w:cs="Times New Roman"/>
          <w:sz w:val="32"/>
          <w:szCs w:val="32"/>
        </w:rPr>
        <w:t>控技术与装备研发，解决灾情感知难、监测不到位、处置效率低等难题，获得自主知识产权，形成相关技术标准，研究成果在相关产业重点领域应用示范，推进我省防灾减灾救灾技术与产业的快速发展。</w:t>
      </w:r>
    </w:p>
    <w:p w:rsidR="00FF3479" w:rsidRDefault="009C3424">
      <w:pPr>
        <w:spacing w:line="6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3. </w:t>
      </w:r>
      <w:r>
        <w:rPr>
          <w:rFonts w:ascii="Times New Roman" w:eastAsia="方正楷体_GBK" w:hAnsi="Times New Roman" w:cs="Times New Roman"/>
          <w:sz w:val="32"/>
          <w:szCs w:val="32"/>
        </w:rPr>
        <w:t>城市社会安全</w:t>
      </w:r>
    </w:p>
    <w:p w:rsidR="00FF3479" w:rsidRDefault="009C3424">
      <w:pPr>
        <w:spacing w:line="6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研究内容：</w:t>
      </w:r>
      <w:r>
        <w:rPr>
          <w:rFonts w:ascii="Times New Roman" w:eastAsia="方正仿宋_GBK" w:hAnsi="Times New Roman" w:cs="Times New Roman"/>
          <w:sz w:val="32"/>
          <w:szCs w:val="32"/>
        </w:rPr>
        <w:t>针对城市基础设施的风险评估、监测预警、应急综合保障和社会安全综合治理瓶颈问题，开展城市重点区域、重点部位地下、地面、低空三位一体安全监测预警技术研究，支持可燃气体探测激光芯片、分布式光纤振动传感器、太赫兹激光器、集成化毫米波雷达等核心器件研发；开展态势研判及预防准备技术研究，支持铁路多源振动异常及入侵预警系统、城镇燃气管道安全检测、城市生命线全光纤感知系统研发；开展综合保障技术研究，支持刑事侦查、防范恐怖袭击、网络监测管控和侦查取证等技术与装备研发，支持易制毒物品现场快速检测装备研发，支持基于神经调控</w:t>
      </w:r>
      <w:r>
        <w:rPr>
          <w:rFonts w:ascii="Times New Roman" w:eastAsia="方正仿宋_GBK" w:hAnsi="Times New Roman" w:cs="Times New Roman"/>
          <w:sz w:val="32"/>
          <w:szCs w:val="32"/>
        </w:rPr>
        <w:lastRenderedPageBreak/>
        <w:t>技术的</w:t>
      </w:r>
      <w:r>
        <w:rPr>
          <w:rFonts w:ascii="Times New Roman" w:eastAsia="方正仿宋_GBK" w:hAnsi="Times New Roman" w:cs="Times New Roman"/>
          <w:sz w:val="32"/>
          <w:szCs w:val="32"/>
        </w:rPr>
        <w:t>无创戒毒及康复训练装备研发，支持防篡改防伪造的移动执法装备、智能安保巡逻机器人研发，支持低空飞行物安全侦控装备研发，支持军营、监管场所等一体化智慧管控关键技术研究与产业化。</w:t>
      </w:r>
    </w:p>
    <w:p w:rsidR="00FF3479" w:rsidRDefault="009C3424">
      <w:pPr>
        <w:spacing w:line="620" w:lineRule="exact"/>
        <w:rPr>
          <w:rFonts w:ascii="Times New Roman" w:eastAsia="方正仿宋_GBK" w:hAnsi="Times New Roman" w:cs="Times New Roman"/>
          <w:sz w:val="32"/>
          <w:szCs w:val="32"/>
        </w:rPr>
      </w:pPr>
      <w:r>
        <w:rPr>
          <w:rFonts w:ascii="Times New Roman" w:eastAsia="方正楷体_GBK" w:hAnsi="Times New Roman" w:cs="Times New Roman"/>
          <w:sz w:val="32"/>
          <w:szCs w:val="32"/>
        </w:rPr>
        <w:t>研究目标：</w:t>
      </w:r>
      <w:r>
        <w:rPr>
          <w:rFonts w:ascii="Times New Roman" w:eastAsia="方正仿宋_GBK" w:hAnsi="Times New Roman" w:cs="Times New Roman"/>
          <w:sz w:val="32"/>
          <w:szCs w:val="32"/>
        </w:rPr>
        <w:t>突破城市社会安全监测预警、态势研判、综合保障等关键技术，获得自主知识产权，形成相关技术标准；攻克关键单元部件、系统整机装备等共性技术难题，形成相关产品；深化重点区域工程化示范应用，推进我省城市社会安全技术与产业的快速发展。</w:t>
      </w:r>
    </w:p>
    <w:sectPr w:rsidR="00FF3479">
      <w:footerReference w:type="default" r:id="rId7"/>
      <w:pgSz w:w="11906" w:h="16838"/>
      <w:pgMar w:top="1440" w:right="1797" w:bottom="1440" w:left="179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24" w:rsidRDefault="009C3424">
      <w:r>
        <w:separator/>
      </w:r>
    </w:p>
  </w:endnote>
  <w:endnote w:type="continuationSeparator" w:id="0">
    <w:p w:rsidR="009C3424" w:rsidRDefault="009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79" w:rsidRDefault="009C3424">
    <w:pPr>
      <w:pStyle w:val="a3"/>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3479" w:rsidRDefault="009C3424">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B832BF">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FF3479" w:rsidRDefault="009C3424">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B832BF">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24" w:rsidRDefault="009C3424">
      <w:r>
        <w:separator/>
      </w:r>
    </w:p>
  </w:footnote>
  <w:footnote w:type="continuationSeparator" w:id="0">
    <w:p w:rsidR="009C3424" w:rsidRDefault="009C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F4"/>
    <w:rsid w:val="00055870"/>
    <w:rsid w:val="00152FA9"/>
    <w:rsid w:val="0032748B"/>
    <w:rsid w:val="00353A14"/>
    <w:rsid w:val="00403A1D"/>
    <w:rsid w:val="00465641"/>
    <w:rsid w:val="004D4A32"/>
    <w:rsid w:val="005244FB"/>
    <w:rsid w:val="005D4370"/>
    <w:rsid w:val="005F165A"/>
    <w:rsid w:val="006B55E0"/>
    <w:rsid w:val="006C3FC5"/>
    <w:rsid w:val="009C3424"/>
    <w:rsid w:val="009C420F"/>
    <w:rsid w:val="00A3732E"/>
    <w:rsid w:val="00A96A97"/>
    <w:rsid w:val="00A96FF4"/>
    <w:rsid w:val="00B17B32"/>
    <w:rsid w:val="00B832BF"/>
    <w:rsid w:val="00BF336C"/>
    <w:rsid w:val="00C579BA"/>
    <w:rsid w:val="00CF0586"/>
    <w:rsid w:val="00D30152"/>
    <w:rsid w:val="00D470A1"/>
    <w:rsid w:val="00D95B1B"/>
    <w:rsid w:val="00DB04E6"/>
    <w:rsid w:val="00DB324D"/>
    <w:rsid w:val="00DE748D"/>
    <w:rsid w:val="00E548EB"/>
    <w:rsid w:val="00EA1AC4"/>
    <w:rsid w:val="00ED65F5"/>
    <w:rsid w:val="00FF3479"/>
    <w:rsid w:val="0988006F"/>
    <w:rsid w:val="75A11847"/>
    <w:rsid w:val="77FB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F490"/>
  <w15:docId w15:val="{499F5FCC-3FDD-4C57-983D-FC53CF0D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陈鹏</dc:creator>
  <cp:lastModifiedBy>WJ</cp:lastModifiedBy>
  <cp:revision>11</cp:revision>
  <cp:lastPrinted>2023-04-28T07:56:00Z</cp:lastPrinted>
  <dcterms:created xsi:type="dcterms:W3CDTF">2023-04-28T01:09:00Z</dcterms:created>
  <dcterms:modified xsi:type="dcterms:W3CDTF">2023-05-05T08:23:00Z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