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624" w:beforeLines="200" w:line="1200" w:lineRule="exact"/>
        <w:jc w:val="distribute"/>
        <w:rPr>
          <w:rFonts w:ascii="方正小标宋_GBK" w:hAnsi="宋体" w:eastAsia="方正小标宋_GBK"/>
          <w:bCs/>
          <w:color w:val="FF0000"/>
          <w:w w:val="44"/>
          <w:sz w:val="138"/>
          <w:szCs w:val="108"/>
        </w:rPr>
      </w:pPr>
      <w:r>
        <w:rPr>
          <w:rFonts w:hint="eastAsia" w:ascii="方正小标宋_GBK" w:hAnsi="宋体" w:eastAsia="方正小标宋_GBK"/>
          <w:bCs/>
          <w:color w:val="FF0000"/>
          <w:w w:val="44"/>
          <w:sz w:val="138"/>
          <w:szCs w:val="108"/>
        </w:rPr>
        <w:t>安徽医科大学处室文件</w:t>
      </w:r>
    </w:p>
    <w:p>
      <w:pPr>
        <w:spacing w:before="468" w:beforeLines="150"/>
        <w:jc w:val="center"/>
        <w:rPr>
          <w:rFonts w:ascii="仿宋" w:hAnsi="仿宋" w:eastAsia="仿宋"/>
          <w:sz w:val="32"/>
          <w:szCs w:val="32"/>
        </w:rPr>
      </w:pPr>
      <w:r>
        <w:rPr>
          <w:rFonts w:hint="eastAsia" w:ascii="仿宋" w:hAnsi="仿宋" w:eastAsia="仿宋"/>
          <w:bCs/>
          <w:sz w:val="32"/>
          <w:szCs w:val="32"/>
        </w:rPr>
        <w:t>教字〔2024〕51号</w:t>
      </w:r>
    </w:p>
    <w:p>
      <w:pPr>
        <w:adjustRightInd w:val="0"/>
        <w:snapToGrid w:val="0"/>
      </w:pPr>
      <w:r>
        <mc:AlternateContent>
          <mc:Choice Requires="wpc">
            <w:drawing>
              <wp:anchor distT="0" distB="0" distL="114300" distR="114300" simplePos="0" relativeHeight="251659264" behindDoc="0" locked="0" layoutInCell="1" allowOverlap="1">
                <wp:simplePos x="0" y="0"/>
                <wp:positionH relativeFrom="column">
                  <wp:posOffset>-6350</wp:posOffset>
                </wp:positionH>
                <wp:positionV relativeFrom="paragraph">
                  <wp:posOffset>27940</wp:posOffset>
                </wp:positionV>
                <wp:extent cx="5615940" cy="380365"/>
                <wp:effectExtent l="0" t="0" r="3810" b="0"/>
                <wp:wrapNone/>
                <wp:docPr id="2" name="head"/>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7"/>
                        <wps:cNvSpPr/>
                        <wps:spPr>
                          <a:xfrm>
                            <a:off x="0" y="202565"/>
                            <a:ext cx="5615940" cy="635"/>
                          </a:xfrm>
                          <a:prstGeom prst="line">
                            <a:avLst/>
                          </a:prstGeom>
                          <a:ln w="31750" cap="flat" cmpd="sng">
                            <a:solidFill>
                              <a:srgbClr val="FF0000"/>
                            </a:solidFill>
                            <a:prstDash val="solid"/>
                            <a:headEnd type="none" w="med" len="med"/>
                            <a:tailEnd type="none" w="med" len="med"/>
                          </a:ln>
                        </wps:spPr>
                        <wps:bodyPr upright="1"/>
                      </wps:wsp>
                    </wpc:wpc>
                  </a:graphicData>
                </a:graphic>
              </wp:anchor>
            </w:drawing>
          </mc:Choice>
          <mc:Fallback>
            <w:pict>
              <v:group id="head" o:spid="_x0000_s1026" o:spt="203" style="position:absolute;left:0pt;margin-left:-0.5pt;margin-top:2.2pt;height:29.95pt;width:442.2pt;z-index:251659264;mso-width-relative:page;mso-height-relative:page;" coordsize="5615940,380365" editas="canvas" o:gfxdata="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gLoLnZAAAABwEA&#10;AA8AAAAAAAAAAQAgAAAAIgAAAGRycy9kb3ducmV2LnhtbFBLAQIUABQAAAAIAIdO4kA+oWVjGQIA&#10;AL4EAAAOAAAAAAAAAAEAIAAAACgBAABkcnMvZTJvRG9jLnhtbFBLBQYAAAAABgAGAFkBAACzBQAA&#10;AAA=&#10;">
                <o:lock v:ext="edit" aspectratio="f"/>
                <v:rect id="head" o:spid="_x0000_s1026" o:spt="1" style="position:absolute;left:0;top:0;height:380365;width:5615940;" filled="f" stroked="f" coordsize="21600,21600" o:gfxdata="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oC6C52QAAAAcBAAAPAAAAAAAAAAEAIAAAACIAAABkcnMvZG93bnJl&#10;di54bWxQSwECFAAUAAAACACHTuJAsfcCRvwBAABBBAAADgAAAAAAAAABACAAAAAoAQAAZHJzL2Uy&#10;b0RvYy54bWxQSwUGAAAAAAYABgBZAQAAlgUAAAAA&#10;">
                  <v:fill on="f" focussize="0,0"/>
                  <v:stroke on="f"/>
                  <v:imagedata o:title=""/>
                  <o:lock v:ext="edit" aspectratio="t"/>
                </v:rect>
                <v:line id="Line 7" o:spid="_x0000_s1026" o:spt="20" style="position:absolute;left:0;top:202565;height:635;width:561594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XS8QAAADaAAAADwAAAGRycy9kb3ducmV2LnhtbESPQWsCMRSE74L/IbxCL1KzlaKybhQp&#10;CB7EohWKt+fmNVncvCybuG7/fVMQehxm5humWPWuFh21ofKs4HWcgSAuva7YKDh9bl7mIEJE1lh7&#10;JgU/FGC1HA4KzLW/84G6YzQiQTjkqMDG2ORShtKSwzD2DXHyvn3rMCbZGqlbvCe4q+Uky6bSYcVp&#10;wWJD75bK6/HmFIR6Z0cfX+e9ucSzv5rpfD8rd0o9P/XrBYhIffwPP9pbreAN/q6kG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B9dLxAAAANoAAAAPAAAAAAAAAAAA&#10;AAAAAKECAABkcnMvZG93bnJldi54bWxQSwUGAAAAAAQABAD5AAAAkgMAAAAA&#10;">
                  <v:fill on="f" focussize="0,0"/>
                  <v:stroke weight="2.5pt" color="#FF0000" joinstyle="round"/>
                  <v:imagedata o:title=""/>
                  <o:lock v:ext="edit" aspectratio="f"/>
                </v:line>
              </v:group>
            </w:pict>
          </mc:Fallback>
        </mc:AlternateContent>
      </w:r>
    </w:p>
    <w:p>
      <w:pPr>
        <w:adjustRightInd w:val="0"/>
        <w:snapToGrid w:val="0"/>
      </w:pPr>
    </w:p>
    <w:p>
      <w:pPr>
        <w:adjustRightInd w:val="0"/>
        <w:snapToGrid w:val="0"/>
        <w:spacing w:line="580" w:lineRule="exact"/>
        <w:ind w:left="556" w:leftChars="270" w:right="554" w:rightChars="269"/>
        <w:jc w:val="center"/>
        <w:rPr>
          <w:rFonts w:hint="eastAsia" w:ascii="方正小标宋_GBK" w:eastAsia="方正小标宋_GBK"/>
          <w:sz w:val="44"/>
          <w:szCs w:val="44"/>
        </w:rPr>
      </w:pPr>
    </w:p>
    <w:p>
      <w:pPr>
        <w:adjustRightInd w:val="0"/>
        <w:snapToGrid w:val="0"/>
        <w:spacing w:line="580" w:lineRule="exact"/>
        <w:ind w:left="556" w:leftChars="270" w:right="554" w:rightChars="269"/>
        <w:jc w:val="center"/>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宋体" w:eastAsia="方正小标宋_GBK" w:cs="宋体"/>
          <w:color w:val="auto"/>
          <w:sz w:val="44"/>
          <w:szCs w:val="44"/>
          <w:highlight w:val="none"/>
        </w:rPr>
      </w:pPr>
      <w:r>
        <w:rPr>
          <w:rFonts w:hint="eastAsia" w:ascii="方正小标宋_GBK" w:eastAsia="方正小标宋_GBK"/>
          <w:sz w:val="44"/>
          <w:szCs w:val="44"/>
        </w:rPr>
        <w:t xml:space="preserve"> </w:t>
      </w:r>
      <w:r>
        <w:rPr>
          <w:rFonts w:hint="eastAsia" w:ascii="方正小标宋_GBK" w:hAnsi="宋体" w:eastAsia="方正小标宋_GBK" w:cs="宋体"/>
          <w:color w:val="auto"/>
          <w:sz w:val="44"/>
          <w:szCs w:val="44"/>
          <w:highlight w:val="none"/>
        </w:rPr>
        <w:t>关于</w:t>
      </w:r>
      <w:r>
        <w:rPr>
          <w:rFonts w:hint="eastAsia" w:ascii="方正小标宋_GBK" w:hAnsi="宋体" w:eastAsia="方正小标宋_GBK" w:cs="宋体"/>
          <w:color w:val="auto"/>
          <w:sz w:val="44"/>
          <w:szCs w:val="44"/>
          <w:highlight w:val="none"/>
          <w:lang w:val="en-US" w:eastAsia="zh-CN"/>
        </w:rPr>
        <w:t>编制2023版人才培养方案</w:t>
      </w:r>
      <w:r>
        <w:rPr>
          <w:rFonts w:hint="eastAsia" w:ascii="方正小标宋_GBK" w:hAnsi="宋体" w:eastAsia="方正小标宋_GBK" w:cs="宋体"/>
          <w:color w:val="auto"/>
          <w:sz w:val="44"/>
          <w:szCs w:val="44"/>
          <w:highlight w:val="none"/>
        </w:rPr>
        <w:t>课程标准的</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eastAsia="方正小标宋_GBK"/>
          <w:sz w:val="44"/>
          <w:szCs w:val="44"/>
        </w:rPr>
      </w:pPr>
      <w:r>
        <w:rPr>
          <w:rFonts w:hint="eastAsia" w:ascii="方正小标宋_GBK" w:hAnsi="宋体" w:eastAsia="方正小标宋_GBK" w:cs="宋体"/>
          <w:color w:val="auto"/>
          <w:sz w:val="44"/>
          <w:szCs w:val="44"/>
          <w:highlight w:val="none"/>
        </w:rPr>
        <w:t>通知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szCs w:val="32"/>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等线" w:eastAsia="仿宋_GB2312"/>
          <w:color w:val="auto"/>
          <w:sz w:val="32"/>
          <w:szCs w:val="32"/>
          <w:highlight w:val="none"/>
        </w:rPr>
      </w:pPr>
      <w:r>
        <w:rPr>
          <w:rFonts w:hint="eastAsia" w:ascii="仿宋" w:hAnsi="仿宋" w:eastAsia="仿宋"/>
          <w:sz w:val="30"/>
          <w:szCs w:val="30"/>
        </w:rPr>
        <w:t xml:space="preserve"> </w:t>
      </w:r>
      <w:r>
        <w:rPr>
          <w:rFonts w:hint="eastAsia" w:ascii="仿宋_GB2312" w:hAnsi="宋体" w:eastAsia="仿宋_GB2312" w:cs="宋体"/>
          <w:color w:val="auto"/>
          <w:sz w:val="32"/>
          <w:szCs w:val="32"/>
          <w:highlight w:val="none"/>
        </w:rPr>
        <w:t>各教学单位：</w:t>
      </w:r>
    </w:p>
    <w:p>
      <w:pPr>
        <w:keepNext w:val="0"/>
        <w:keepLines w:val="0"/>
        <w:pageBreakBefore w:val="0"/>
        <w:widowControl w:val="0"/>
        <w:kinsoku/>
        <w:wordWrap/>
        <w:overflowPunct/>
        <w:topLinePunct w:val="0"/>
        <w:autoSpaceDE/>
        <w:autoSpaceDN/>
        <w:bidi w:val="0"/>
        <w:spacing w:line="560" w:lineRule="exact"/>
        <w:ind w:firstLine="560"/>
        <w:textAlignment w:val="auto"/>
        <w:rPr>
          <w:rFonts w:hint="eastAsia" w:ascii="仿宋_GB2312" w:hAnsi="等线" w:eastAsia="仿宋_GB2312"/>
          <w:color w:val="auto"/>
          <w:sz w:val="32"/>
          <w:szCs w:val="32"/>
          <w:highlight w:val="none"/>
        </w:rPr>
      </w:pPr>
      <w:r>
        <w:rPr>
          <w:rFonts w:hint="eastAsia" w:ascii="仿宋_GB2312" w:hAnsi="宋体" w:eastAsia="仿宋_GB2312" w:cs="宋体"/>
          <w:color w:val="auto"/>
          <w:sz w:val="32"/>
          <w:szCs w:val="32"/>
          <w:highlight w:val="none"/>
          <w:lang w:val="en-US" w:eastAsia="zh-CN"/>
        </w:rPr>
        <w:t>为深入贯彻党的教育方针，全面落实立德树人根本任务，持续推进新一轮本科教育教学审核评估工作，严格执行《关于做好2023版本科各专业人才培养方案制（修）订工作的通知》（校教字〔2023〕20号）文件要求，</w:t>
      </w:r>
      <w:r>
        <w:rPr>
          <w:rFonts w:hint="eastAsia" w:ascii="仿宋_GB2312" w:hAnsi="宋体" w:eastAsia="仿宋_GB2312" w:cs="宋体"/>
          <w:color w:val="auto"/>
          <w:sz w:val="32"/>
          <w:szCs w:val="32"/>
          <w:highlight w:val="none"/>
        </w:rPr>
        <w:t>进一步规范课程管理，</w:t>
      </w:r>
      <w:r>
        <w:rPr>
          <w:rFonts w:hint="eastAsia" w:ascii="仿宋_GB2312" w:hAnsi="宋体" w:eastAsia="仿宋_GB2312" w:cs="宋体"/>
          <w:color w:val="auto"/>
          <w:kern w:val="0"/>
          <w:sz w:val="32"/>
          <w:szCs w:val="32"/>
          <w:highlight w:val="none"/>
        </w:rPr>
        <w:t>提高课程质量，学校</w:t>
      </w:r>
      <w:r>
        <w:rPr>
          <w:rFonts w:hint="eastAsia" w:ascii="仿宋_GB2312" w:hAnsi="宋体" w:eastAsia="仿宋_GB2312" w:cs="宋体"/>
          <w:color w:val="auto"/>
          <w:kern w:val="0"/>
          <w:sz w:val="32"/>
          <w:szCs w:val="32"/>
          <w:highlight w:val="none"/>
          <w:lang w:val="en-US" w:eastAsia="zh-CN"/>
        </w:rPr>
        <w:t>决定组织新版</w:t>
      </w:r>
      <w:r>
        <w:rPr>
          <w:rFonts w:hint="eastAsia" w:ascii="仿宋_GB2312" w:hAnsi="宋体" w:eastAsia="仿宋_GB2312" w:cs="宋体"/>
          <w:color w:val="auto"/>
          <w:kern w:val="0"/>
          <w:sz w:val="32"/>
          <w:szCs w:val="32"/>
          <w:highlight w:val="none"/>
        </w:rPr>
        <w:t>课程标准的</w:t>
      </w:r>
      <w:r>
        <w:rPr>
          <w:rFonts w:hint="eastAsia" w:ascii="仿宋_GB2312" w:hAnsi="宋体" w:eastAsia="仿宋_GB2312" w:cs="宋体"/>
          <w:color w:val="auto"/>
          <w:kern w:val="0"/>
          <w:sz w:val="32"/>
          <w:szCs w:val="32"/>
          <w:highlight w:val="none"/>
          <w:lang w:val="en-US" w:eastAsia="zh-CN"/>
        </w:rPr>
        <w:t>编制</w:t>
      </w:r>
      <w:r>
        <w:rPr>
          <w:rFonts w:hint="eastAsia" w:ascii="仿宋_GB2312" w:hAnsi="宋体" w:eastAsia="仿宋_GB2312" w:cs="宋体"/>
          <w:color w:val="auto"/>
          <w:kern w:val="0"/>
          <w:sz w:val="32"/>
          <w:szCs w:val="32"/>
          <w:highlight w:val="none"/>
        </w:rPr>
        <w:t>工作。现将有关事项通知如下：</w:t>
      </w:r>
    </w:p>
    <w:p>
      <w:pPr>
        <w:keepNext w:val="0"/>
        <w:keepLines w:val="0"/>
        <w:pageBreakBefore w:val="0"/>
        <w:widowControl w:val="0"/>
        <w:numPr>
          <w:ilvl w:val="0"/>
          <w:numId w:val="1"/>
        </w:numPr>
        <w:kinsoku/>
        <w:wordWrap/>
        <w:overflowPunct/>
        <w:topLinePunct w:val="0"/>
        <w:autoSpaceDE/>
        <w:autoSpaceDN/>
        <w:bidi w:val="0"/>
        <w:spacing w:line="560" w:lineRule="exact"/>
        <w:ind w:firstLine="560"/>
        <w:textAlignment w:val="auto"/>
        <w:rPr>
          <w:rFonts w:hint="eastAsia" w:ascii="仿宋_GB2312" w:hAnsi="黑体" w:eastAsia="仿宋_GB2312" w:cs="宋体"/>
          <w:b/>
          <w:bCs/>
          <w:color w:val="auto"/>
          <w:sz w:val="32"/>
          <w:szCs w:val="32"/>
          <w:highlight w:val="none"/>
          <w:lang w:val="en-US" w:eastAsia="zh-CN"/>
        </w:rPr>
      </w:pPr>
      <w:r>
        <w:rPr>
          <w:rFonts w:hint="eastAsia" w:ascii="仿宋_GB2312" w:hAnsi="黑体" w:eastAsia="仿宋_GB2312" w:cs="宋体"/>
          <w:b/>
          <w:bCs/>
          <w:color w:val="auto"/>
          <w:sz w:val="32"/>
          <w:szCs w:val="32"/>
          <w:highlight w:val="none"/>
          <w:lang w:val="en-US" w:eastAsia="zh-CN"/>
        </w:rPr>
        <w:t>指导思想</w:t>
      </w:r>
    </w:p>
    <w:p>
      <w:pPr>
        <w:keepNext w:val="0"/>
        <w:keepLines w:val="0"/>
        <w:pageBreakBefore w:val="0"/>
        <w:widowControl w:val="0"/>
        <w:kinsoku/>
        <w:wordWrap/>
        <w:overflowPunct/>
        <w:topLinePunct w:val="0"/>
        <w:autoSpaceDE/>
        <w:autoSpaceDN/>
        <w:bidi w:val="0"/>
        <w:spacing w:line="560" w:lineRule="exact"/>
        <w:ind w:firstLine="562"/>
        <w:textAlignment w:val="auto"/>
        <w:rPr>
          <w:rFonts w:hint="eastAsia" w:ascii="仿宋_GB2312" w:hAnsi="宋体" w:eastAsia="仿宋_GB2312" w:cs="宋体"/>
          <w:color w:val="auto"/>
          <w:sz w:val="32"/>
          <w:szCs w:val="32"/>
          <w:highlight w:val="none"/>
          <w:lang w:val="en-US" w:eastAsia="zh-CN"/>
        </w:rPr>
      </w:pPr>
      <w:r>
        <w:rPr>
          <w:rFonts w:hint="eastAsia" w:ascii="仿宋_GB2312" w:hAnsi="宋体" w:eastAsia="仿宋_GB2312" w:cs="宋体"/>
          <w:color w:val="auto"/>
          <w:sz w:val="32"/>
          <w:szCs w:val="32"/>
          <w:highlight w:val="none"/>
        </w:rPr>
        <w:t>课程标准是</w:t>
      </w:r>
      <w:r>
        <w:rPr>
          <w:rFonts w:hint="eastAsia" w:ascii="仿宋_GB2312" w:hAnsi="宋体" w:eastAsia="仿宋_GB2312" w:cs="宋体"/>
          <w:color w:val="auto"/>
          <w:sz w:val="32"/>
          <w:szCs w:val="32"/>
          <w:highlight w:val="none"/>
          <w:lang w:val="en-US" w:eastAsia="zh-CN"/>
        </w:rPr>
        <w:t>执行人才培养方案、实现人才培养目标的重要文件，是组织课堂教学活动、实施课程考核评价、开展教学方法改革、进行教学质量监控的重要依据</w:t>
      </w:r>
      <w:r>
        <w:rPr>
          <w:rFonts w:hint="eastAsia" w:ascii="仿宋_GB2312" w:hAnsi="宋体" w:eastAsia="仿宋_GB2312" w:cs="宋体"/>
          <w:color w:val="auto"/>
          <w:sz w:val="32"/>
          <w:szCs w:val="32"/>
          <w:highlight w:val="none"/>
        </w:rPr>
        <w:t>。课程标准的制定应参考教育部各专业教学指导委员会的有关指导意见，体现《普通高等学校本科专业类教学质量国家标准》和相关专业认证标准</w:t>
      </w:r>
      <w:r>
        <w:rPr>
          <w:rFonts w:hint="eastAsia" w:ascii="仿宋_GB2312" w:hAnsi="宋体" w:eastAsia="仿宋_GB2312" w:cs="宋体"/>
          <w:color w:val="auto"/>
          <w:sz w:val="32"/>
          <w:szCs w:val="32"/>
          <w:highlight w:val="none"/>
          <w:lang w:eastAsia="zh-CN"/>
        </w:rPr>
        <w:t>、</w:t>
      </w:r>
      <w:r>
        <w:rPr>
          <w:rFonts w:hint="eastAsia" w:ascii="仿宋_GB2312" w:hAnsi="宋体" w:eastAsia="仿宋_GB2312" w:cs="宋体"/>
          <w:color w:val="auto"/>
          <w:sz w:val="32"/>
          <w:szCs w:val="32"/>
          <w:highlight w:val="none"/>
          <w:lang w:val="en-US" w:eastAsia="zh-CN"/>
        </w:rPr>
        <w:t>各专业培养质量标准</w:t>
      </w:r>
      <w:r>
        <w:rPr>
          <w:rFonts w:hint="eastAsia" w:ascii="仿宋_GB2312" w:hAnsi="宋体" w:eastAsia="仿宋_GB2312" w:cs="宋体"/>
          <w:color w:val="auto"/>
          <w:sz w:val="32"/>
          <w:szCs w:val="32"/>
          <w:highlight w:val="none"/>
        </w:rPr>
        <w:t>的要求，</w:t>
      </w:r>
      <w:r>
        <w:rPr>
          <w:rFonts w:hint="eastAsia" w:ascii="仿宋_GB2312" w:hAnsi="宋体" w:eastAsia="仿宋_GB2312" w:cs="宋体"/>
          <w:color w:val="auto"/>
          <w:sz w:val="32"/>
          <w:szCs w:val="32"/>
          <w:highlight w:val="none"/>
          <w:lang w:val="en-US" w:eastAsia="zh-CN"/>
        </w:rPr>
        <w:t>要遵循高等教育教学规律和人才成长规律，突出</w:t>
      </w:r>
      <w:r>
        <w:rPr>
          <w:rFonts w:hint="eastAsia" w:ascii="仿宋_GB2312" w:hAnsi="宋体" w:eastAsia="仿宋_GB2312" w:cs="宋体"/>
          <w:color w:val="auto"/>
          <w:sz w:val="32"/>
          <w:szCs w:val="32"/>
          <w:highlight w:val="none"/>
          <w:lang w:eastAsia="zh-CN"/>
        </w:rPr>
        <w:t>“</w:t>
      </w:r>
      <w:r>
        <w:rPr>
          <w:rFonts w:hint="eastAsia" w:ascii="仿宋_GB2312" w:hAnsi="宋体" w:eastAsia="仿宋_GB2312" w:cs="宋体"/>
          <w:color w:val="auto"/>
          <w:sz w:val="32"/>
          <w:szCs w:val="32"/>
          <w:highlight w:val="none"/>
        </w:rPr>
        <w:t>学生中心、产出导向、持续改进</w:t>
      </w:r>
      <w:r>
        <w:rPr>
          <w:rFonts w:hint="eastAsia" w:ascii="仿宋_GB2312" w:hAnsi="宋体" w:eastAsia="仿宋_GB2312" w:cs="宋体"/>
          <w:color w:val="auto"/>
          <w:sz w:val="32"/>
          <w:szCs w:val="32"/>
          <w:highlight w:val="none"/>
          <w:lang w:eastAsia="zh-CN"/>
        </w:rPr>
        <w:t>”</w:t>
      </w:r>
      <w:r>
        <w:rPr>
          <w:rFonts w:hint="eastAsia" w:ascii="仿宋_GB2312" w:hAnsi="宋体" w:eastAsia="仿宋_GB2312" w:cs="宋体"/>
          <w:color w:val="auto"/>
          <w:sz w:val="32"/>
          <w:szCs w:val="32"/>
          <w:highlight w:val="none"/>
          <w:lang w:val="en-US" w:eastAsia="zh-CN"/>
        </w:rPr>
        <w:t>理念，</w:t>
      </w:r>
      <w:r>
        <w:rPr>
          <w:rFonts w:hint="eastAsia" w:ascii="仿宋_GB2312" w:hAnsi="宋体" w:eastAsia="仿宋_GB2312" w:cs="宋体"/>
          <w:color w:val="auto"/>
          <w:sz w:val="32"/>
          <w:szCs w:val="32"/>
          <w:highlight w:val="none"/>
        </w:rPr>
        <w:t>促进学生知识、能力和素质协调发展</w:t>
      </w:r>
      <w:r>
        <w:rPr>
          <w:rFonts w:hint="eastAsia" w:ascii="仿宋_GB2312" w:hAnsi="宋体" w:eastAsia="仿宋_GB2312" w:cs="宋体"/>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60" w:lineRule="exact"/>
        <w:ind w:firstLine="562"/>
        <w:textAlignment w:val="auto"/>
        <w:rPr>
          <w:rFonts w:hint="eastAsia" w:ascii="仿宋_GB2312" w:hAnsi="宋体" w:eastAsia="仿宋_GB2312" w:cs="宋体"/>
          <w:color w:val="auto"/>
          <w:sz w:val="32"/>
          <w:szCs w:val="32"/>
          <w:highlight w:val="none"/>
          <w:lang w:val="en-US" w:eastAsia="zh-CN"/>
        </w:rPr>
      </w:pPr>
      <w:r>
        <w:rPr>
          <w:rFonts w:hint="eastAsia" w:ascii="仿宋_GB2312" w:hAnsi="宋体" w:eastAsia="仿宋_GB2312" w:cs="宋体"/>
          <w:color w:val="auto"/>
          <w:sz w:val="32"/>
          <w:szCs w:val="32"/>
          <w:highlight w:val="none"/>
          <w:lang w:val="en-US" w:eastAsia="zh-CN"/>
        </w:rPr>
        <w:t>课程内容要以培养学生专业岗位胜任力为目标，重点突出培养学生解决问题能力的培养内容打造。推进AI人工智能、英语等工具学科与专业课程内容的有机融合。依托学校“教、学、评、管、考、环”一体化教学平台增加线上学习学时，进一步合理压缩课堂内学时，通过重构教学内容，丰富线上学习资源，开发线上线下融合授课内容。</w:t>
      </w:r>
    </w:p>
    <w:p>
      <w:pPr>
        <w:keepNext w:val="0"/>
        <w:keepLines w:val="0"/>
        <w:pageBreakBefore w:val="0"/>
        <w:widowControl w:val="0"/>
        <w:kinsoku/>
        <w:wordWrap/>
        <w:overflowPunct/>
        <w:topLinePunct w:val="0"/>
        <w:autoSpaceDE/>
        <w:autoSpaceDN/>
        <w:bidi w:val="0"/>
        <w:spacing w:line="560" w:lineRule="exact"/>
        <w:ind w:firstLine="562"/>
        <w:textAlignment w:val="auto"/>
        <w:rPr>
          <w:rFonts w:hint="default" w:ascii="仿宋_GB2312" w:hAnsi="宋体" w:eastAsia="仿宋_GB2312" w:cs="宋体"/>
          <w:color w:val="auto"/>
          <w:sz w:val="32"/>
          <w:szCs w:val="32"/>
          <w:highlight w:val="none"/>
          <w:lang w:val="en-US" w:eastAsia="zh-CN"/>
        </w:rPr>
      </w:pPr>
      <w:r>
        <w:rPr>
          <w:rFonts w:hint="eastAsia" w:ascii="仿宋_GB2312" w:hAnsi="宋体" w:eastAsia="仿宋_GB2312" w:cs="宋体"/>
          <w:color w:val="auto"/>
          <w:sz w:val="32"/>
          <w:szCs w:val="32"/>
          <w:highlight w:val="none"/>
          <w:lang w:val="en-US" w:eastAsia="zh-CN"/>
        </w:rPr>
        <w:t>深入落实智能时代教学内容、教法创新理念，教学双方要做到“三转变一创新”：（1）角色转变：教师从工业时代的知识传授者向数智时代的教学引导者和支持者转变，提升教师利用新工具成为学习活动组织者和学习引导者，培养学生的终身学习能力；学生从被动的知识接受者向参与教学、自主学习、合作学习转变；（2）内容转变：教师需要在教学活动中培养学生的创新思维、解决问题能力、团队协作能力和持续学习能力，引导学生积极探索和应用知识；（3）中心转变：强化学生的教育主体和中心地位，充分重视学生的学习体验和需求，开设面向学生的个性化学习和发展需求的课程内容；（4）教法创新：教师需要具备基本的数字素养和信息素养，能整合各类数字教育资源，能用智能教育技术工具和数智评价技术，启发式引导学生学习，过程式关注学生学习，动态式调整教学方式。</w:t>
      </w:r>
    </w:p>
    <w:p>
      <w:pPr>
        <w:keepNext w:val="0"/>
        <w:keepLines w:val="0"/>
        <w:pageBreakBefore w:val="0"/>
        <w:widowControl w:val="0"/>
        <w:kinsoku/>
        <w:wordWrap/>
        <w:overflowPunct/>
        <w:topLinePunct w:val="0"/>
        <w:autoSpaceDE/>
        <w:autoSpaceDN/>
        <w:bidi w:val="0"/>
        <w:spacing w:line="560" w:lineRule="exact"/>
        <w:ind w:firstLine="562"/>
        <w:textAlignment w:val="auto"/>
        <w:rPr>
          <w:rFonts w:hint="default" w:ascii="仿宋_GB2312" w:hAnsi="黑体" w:eastAsia="仿宋_GB2312" w:cs="宋体"/>
          <w:b/>
          <w:bCs/>
          <w:color w:val="auto"/>
          <w:sz w:val="32"/>
          <w:szCs w:val="32"/>
          <w:highlight w:val="none"/>
          <w:lang w:val="en-US" w:eastAsia="zh-CN"/>
        </w:rPr>
      </w:pPr>
      <w:r>
        <w:rPr>
          <w:rFonts w:hint="eastAsia" w:ascii="仿宋_GB2312" w:hAnsi="黑体" w:eastAsia="仿宋_GB2312" w:cs="宋体"/>
          <w:b/>
          <w:bCs/>
          <w:color w:val="auto"/>
          <w:sz w:val="32"/>
          <w:szCs w:val="32"/>
          <w:highlight w:val="none"/>
          <w:lang w:val="en-US" w:eastAsia="zh-CN"/>
        </w:rPr>
        <w:t>二、</w:t>
      </w:r>
      <w:r>
        <w:rPr>
          <w:rFonts w:hint="eastAsia" w:ascii="仿宋_GB2312" w:hAnsi="宋体" w:eastAsia="仿宋_GB2312" w:cs="宋体"/>
          <w:b/>
          <w:bCs/>
          <w:color w:val="auto"/>
          <w:kern w:val="0"/>
          <w:sz w:val="32"/>
          <w:szCs w:val="32"/>
          <w:highlight w:val="none"/>
          <w:lang w:val="en-US" w:eastAsia="zh-CN"/>
        </w:rPr>
        <w:t>编制</w:t>
      </w:r>
      <w:r>
        <w:rPr>
          <w:rFonts w:hint="eastAsia" w:ascii="仿宋_GB2312" w:hAnsi="黑体" w:eastAsia="仿宋_GB2312" w:cs="宋体"/>
          <w:b/>
          <w:bCs/>
          <w:color w:val="auto"/>
          <w:sz w:val="32"/>
          <w:szCs w:val="32"/>
          <w:highlight w:val="none"/>
          <w:lang w:val="en-US" w:eastAsia="zh-CN"/>
        </w:rPr>
        <w:t>范围</w:t>
      </w:r>
    </w:p>
    <w:p>
      <w:pPr>
        <w:keepNext w:val="0"/>
        <w:keepLines w:val="0"/>
        <w:pageBreakBefore w:val="0"/>
        <w:widowControl w:val="0"/>
        <w:kinsoku/>
        <w:wordWrap/>
        <w:overflowPunct/>
        <w:topLinePunct w:val="0"/>
        <w:autoSpaceDE/>
        <w:autoSpaceDN/>
        <w:bidi w:val="0"/>
        <w:spacing w:line="560" w:lineRule="exact"/>
        <w:ind w:firstLine="560"/>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1.</w:t>
      </w:r>
      <w:r>
        <w:rPr>
          <w:rFonts w:hint="eastAsia" w:ascii="仿宋_GB2312" w:hAnsi="宋体" w:eastAsia="仿宋_GB2312" w:cs="宋体"/>
          <w:color w:val="auto"/>
          <w:sz w:val="32"/>
          <w:szCs w:val="32"/>
          <w:highlight w:val="none"/>
          <w:lang w:val="en-US" w:eastAsia="zh-CN"/>
        </w:rPr>
        <w:t>2023</w:t>
      </w:r>
      <w:r>
        <w:rPr>
          <w:rFonts w:hint="eastAsia" w:ascii="仿宋_GB2312" w:hAnsi="宋体" w:eastAsia="仿宋_GB2312" w:cs="宋体"/>
          <w:color w:val="auto"/>
          <w:sz w:val="32"/>
          <w:szCs w:val="32"/>
          <w:highlight w:val="none"/>
        </w:rPr>
        <w:t>版本科专业人才培养方案中</w:t>
      </w:r>
      <w:r>
        <w:rPr>
          <w:rFonts w:hint="eastAsia" w:ascii="仿宋_GB2312" w:hAnsi="宋体" w:eastAsia="仿宋_GB2312" w:cs="宋体"/>
          <w:color w:val="auto"/>
          <w:sz w:val="32"/>
          <w:szCs w:val="32"/>
          <w:highlight w:val="none"/>
          <w:lang w:val="en-US" w:eastAsia="zh-CN"/>
        </w:rPr>
        <w:t>的所有思政课程、</w:t>
      </w:r>
      <w:r>
        <w:rPr>
          <w:rFonts w:hint="eastAsia" w:ascii="仿宋_GB2312" w:hAnsi="宋体" w:eastAsia="仿宋_GB2312" w:cs="宋体"/>
          <w:color w:val="auto"/>
          <w:sz w:val="32"/>
          <w:szCs w:val="32"/>
          <w:highlight w:val="none"/>
        </w:rPr>
        <w:t>通识教育必修课、专业必修课</w:t>
      </w:r>
      <w:r>
        <w:rPr>
          <w:rFonts w:hint="eastAsia" w:ascii="仿宋_GB2312" w:hAnsi="宋体" w:eastAsia="仿宋_GB2312" w:cs="宋体"/>
          <w:color w:val="auto"/>
          <w:sz w:val="32"/>
          <w:szCs w:val="32"/>
          <w:highlight w:val="none"/>
          <w:lang w:eastAsia="zh-CN"/>
        </w:rPr>
        <w:t>（</w:t>
      </w:r>
      <w:r>
        <w:rPr>
          <w:rFonts w:hint="eastAsia" w:ascii="仿宋_GB2312" w:hAnsi="宋体" w:eastAsia="仿宋_GB2312" w:cs="宋体"/>
          <w:color w:val="auto"/>
          <w:sz w:val="32"/>
          <w:szCs w:val="32"/>
          <w:highlight w:val="none"/>
          <w:lang w:val="en-US" w:eastAsia="zh-CN"/>
        </w:rPr>
        <w:t>专业基础、专业核心）以及</w:t>
      </w:r>
      <w:r>
        <w:rPr>
          <w:rFonts w:hint="eastAsia" w:ascii="仿宋_GB2312" w:hAnsi="宋体" w:eastAsia="仿宋_GB2312" w:cs="宋体"/>
          <w:color w:val="auto"/>
          <w:sz w:val="32"/>
          <w:szCs w:val="32"/>
          <w:highlight w:val="none"/>
        </w:rPr>
        <w:t>专</w:t>
      </w:r>
      <w:r>
        <w:rPr>
          <w:rFonts w:hint="eastAsia" w:ascii="仿宋_GB2312" w:hAnsi="宋体" w:eastAsia="仿宋_GB2312" w:cs="宋体"/>
          <w:color w:val="auto"/>
          <w:sz w:val="32"/>
          <w:szCs w:val="32"/>
          <w:highlight w:val="none"/>
          <w:lang w:val="en-US" w:eastAsia="zh-CN"/>
        </w:rPr>
        <w:t>业选修课（专业拓展）</w:t>
      </w:r>
      <w:r>
        <w:rPr>
          <w:rFonts w:hint="eastAsia" w:ascii="仿宋_GB2312" w:hAnsi="宋体" w:eastAsia="仿宋_GB2312" w:cs="宋体"/>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560"/>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2.</w:t>
      </w:r>
      <w:r>
        <w:rPr>
          <w:rFonts w:hint="eastAsia" w:ascii="仿宋_GB2312" w:hAnsi="宋体" w:eastAsia="仿宋_GB2312" w:cs="宋体"/>
          <w:color w:val="auto"/>
          <w:sz w:val="32"/>
          <w:szCs w:val="32"/>
          <w:highlight w:val="none"/>
          <w:lang w:val="en-US" w:eastAsia="zh-CN"/>
        </w:rPr>
        <w:t>2023</w:t>
      </w:r>
      <w:r>
        <w:rPr>
          <w:rFonts w:hint="eastAsia" w:ascii="仿宋_GB2312" w:hAnsi="宋体" w:eastAsia="仿宋_GB2312" w:cs="宋体"/>
          <w:color w:val="auto"/>
          <w:sz w:val="32"/>
          <w:szCs w:val="32"/>
          <w:highlight w:val="none"/>
        </w:rPr>
        <w:t>版本科专业人才培养方案中集中实践性教学环节，包括课内见习、技能训练、临床实习、毕业实习、毕业论文（设计）等。</w:t>
      </w:r>
    </w:p>
    <w:p>
      <w:pPr>
        <w:keepNext w:val="0"/>
        <w:keepLines w:val="0"/>
        <w:pageBreakBefore w:val="0"/>
        <w:widowControl w:val="0"/>
        <w:kinsoku/>
        <w:wordWrap/>
        <w:overflowPunct/>
        <w:topLinePunct w:val="0"/>
        <w:autoSpaceDE/>
        <w:autoSpaceDN/>
        <w:bidi w:val="0"/>
        <w:spacing w:line="560" w:lineRule="exact"/>
        <w:ind w:firstLine="560"/>
        <w:textAlignment w:val="auto"/>
        <w:rPr>
          <w:rFonts w:hint="eastAsia" w:ascii="仿宋_GB2312" w:hAnsi="黑体" w:eastAsia="仿宋_GB2312" w:cs="宋体"/>
          <w:b/>
          <w:bCs/>
          <w:color w:val="auto"/>
          <w:sz w:val="32"/>
          <w:szCs w:val="32"/>
          <w:highlight w:val="none"/>
        </w:rPr>
      </w:pPr>
      <w:r>
        <w:rPr>
          <w:rFonts w:hint="eastAsia" w:ascii="仿宋_GB2312" w:hAnsi="黑体" w:eastAsia="仿宋_GB2312" w:cs="宋体"/>
          <w:b/>
          <w:bCs/>
          <w:color w:val="auto"/>
          <w:sz w:val="32"/>
          <w:szCs w:val="32"/>
          <w:highlight w:val="none"/>
          <w:lang w:val="en-US" w:eastAsia="zh-CN"/>
        </w:rPr>
        <w:t>三</w:t>
      </w:r>
      <w:r>
        <w:rPr>
          <w:rFonts w:hint="eastAsia" w:ascii="仿宋_GB2312" w:hAnsi="黑体" w:eastAsia="仿宋_GB2312" w:cs="宋体"/>
          <w:b/>
          <w:bCs/>
          <w:color w:val="auto"/>
          <w:sz w:val="32"/>
          <w:szCs w:val="32"/>
          <w:highlight w:val="none"/>
        </w:rPr>
        <w:t>、</w:t>
      </w:r>
      <w:r>
        <w:rPr>
          <w:rFonts w:hint="eastAsia" w:ascii="仿宋_GB2312" w:hAnsi="黑体" w:eastAsia="仿宋_GB2312" w:cs="宋体"/>
          <w:b/>
          <w:bCs/>
          <w:color w:val="auto"/>
          <w:sz w:val="32"/>
          <w:szCs w:val="32"/>
          <w:highlight w:val="none"/>
          <w:lang w:val="en-US" w:eastAsia="zh-CN"/>
        </w:rPr>
        <w:t>编制</w:t>
      </w:r>
      <w:r>
        <w:rPr>
          <w:rFonts w:hint="eastAsia" w:ascii="仿宋_GB2312" w:hAnsi="黑体" w:eastAsia="仿宋_GB2312" w:cs="宋体"/>
          <w:b/>
          <w:bCs/>
          <w:color w:val="auto"/>
          <w:sz w:val="32"/>
          <w:szCs w:val="32"/>
          <w:highlight w:val="none"/>
        </w:rPr>
        <w:t>要求</w:t>
      </w:r>
    </w:p>
    <w:p>
      <w:pPr>
        <w:keepNext w:val="0"/>
        <w:keepLines w:val="0"/>
        <w:pageBreakBefore w:val="0"/>
        <w:widowControl w:val="0"/>
        <w:kinsoku/>
        <w:wordWrap/>
        <w:overflowPunct/>
        <w:topLinePunct w:val="0"/>
        <w:autoSpaceDE/>
        <w:autoSpaceDN/>
        <w:bidi w:val="0"/>
        <w:spacing w:line="560" w:lineRule="exact"/>
        <w:ind w:firstLine="562"/>
        <w:textAlignment w:val="auto"/>
        <w:rPr>
          <w:rFonts w:hint="eastAsia" w:ascii="仿宋_GB2312" w:hAnsi="宋体" w:eastAsia="仿宋_GB2312" w:cs="宋体"/>
          <w:color w:val="auto"/>
          <w:sz w:val="32"/>
          <w:szCs w:val="32"/>
          <w:highlight w:val="none"/>
          <w:lang w:val="en-US" w:eastAsia="zh-CN"/>
        </w:rPr>
      </w:pPr>
      <w:r>
        <w:rPr>
          <w:rFonts w:hint="eastAsia" w:ascii="仿宋_GB2312" w:hAnsi="宋体" w:eastAsia="仿宋_GB2312" w:cs="宋体"/>
          <w:b/>
          <w:color w:val="auto"/>
          <w:sz w:val="32"/>
          <w:szCs w:val="32"/>
          <w:highlight w:val="none"/>
        </w:rPr>
        <w:t>1.</w:t>
      </w:r>
      <w:r>
        <w:rPr>
          <w:rFonts w:hint="eastAsia" w:ascii="仿宋_GB2312" w:hAnsi="宋体" w:eastAsia="仿宋_GB2312" w:cs="宋体"/>
          <w:b/>
          <w:bCs/>
          <w:color w:val="auto"/>
          <w:sz w:val="32"/>
          <w:szCs w:val="32"/>
          <w:highlight w:val="none"/>
          <w:lang w:val="en-US" w:eastAsia="zh-CN"/>
        </w:rPr>
        <w:t>强化思想政治引领。</w:t>
      </w:r>
      <w:r>
        <w:rPr>
          <w:rFonts w:hint="eastAsia" w:ascii="仿宋_GB2312" w:hAnsi="宋体" w:eastAsia="仿宋_GB2312" w:cs="宋体"/>
          <w:color w:val="auto"/>
          <w:sz w:val="32"/>
          <w:szCs w:val="32"/>
          <w:highlight w:val="none"/>
          <w:lang w:val="en-US" w:eastAsia="zh-CN"/>
        </w:rPr>
        <w:t>根据《高等学校课程思政建设指导纲要》要求，围绕课程思政育人目标，优化课程知识体系，提炼专业课程中蕴含的思政教育、文化基因、思维方法和价值理念，深挖课程育人元素，深化课程育人功能，结合专业特点分类推进课程思政建设，寓价值观引导于知识传授和能力培养之中，帮助学生塑造正确的世界观、人生观、价值观，实现价值引领、知识传授和能力培养相统一的育人目标。</w:t>
      </w:r>
    </w:p>
    <w:p>
      <w:pPr>
        <w:keepNext w:val="0"/>
        <w:keepLines w:val="0"/>
        <w:pageBreakBefore w:val="0"/>
        <w:widowControl w:val="0"/>
        <w:kinsoku/>
        <w:wordWrap/>
        <w:overflowPunct/>
        <w:topLinePunct w:val="0"/>
        <w:autoSpaceDE/>
        <w:autoSpaceDN/>
        <w:bidi w:val="0"/>
        <w:spacing w:line="560" w:lineRule="exact"/>
        <w:ind w:firstLine="562"/>
        <w:textAlignment w:val="auto"/>
        <w:rPr>
          <w:rFonts w:hint="eastAsia" w:ascii="仿宋_GB2312" w:hAnsi="宋体" w:eastAsia="仿宋_GB2312" w:cs="宋体"/>
          <w:color w:val="auto"/>
          <w:sz w:val="32"/>
          <w:szCs w:val="32"/>
          <w:highlight w:val="none"/>
          <w:lang w:val="en-US" w:eastAsia="zh-CN"/>
        </w:rPr>
      </w:pPr>
      <w:r>
        <w:rPr>
          <w:rFonts w:hint="eastAsia" w:ascii="仿宋_GB2312" w:hAnsi="宋体" w:eastAsia="仿宋_GB2312" w:cs="宋体"/>
          <w:b/>
          <w:color w:val="auto"/>
          <w:sz w:val="32"/>
          <w:szCs w:val="32"/>
          <w:highlight w:val="none"/>
          <w:lang w:val="en-US" w:eastAsia="zh-CN"/>
        </w:rPr>
        <w:t>2.提升“两性一度”。</w:t>
      </w:r>
      <w:r>
        <w:rPr>
          <w:rFonts w:hint="eastAsia" w:ascii="仿宋_GB2312" w:hAnsi="宋体" w:eastAsia="仿宋_GB2312" w:cs="宋体"/>
          <w:color w:val="auto"/>
          <w:sz w:val="32"/>
          <w:szCs w:val="32"/>
          <w:highlight w:val="none"/>
          <w:lang w:val="en-US" w:eastAsia="zh-CN"/>
        </w:rPr>
        <w:t>提升课程“高阶性”</w:t>
      </w:r>
      <w:r>
        <w:rPr>
          <w:rFonts w:hint="eastAsia" w:ascii="仿宋_GB2312" w:hAnsi="宋体" w:eastAsia="仿宋_GB2312" w:cs="宋体"/>
          <w:color w:val="auto"/>
          <w:sz w:val="32"/>
          <w:szCs w:val="32"/>
          <w:highlight w:val="none"/>
          <w:lang w:eastAsia="zh-CN"/>
        </w:rPr>
        <w:t>，</w:t>
      </w:r>
      <w:r>
        <w:rPr>
          <w:rFonts w:hint="eastAsia" w:ascii="仿宋_GB2312" w:hAnsi="宋体" w:eastAsia="仿宋_GB2312" w:cs="宋体"/>
          <w:color w:val="auto"/>
          <w:sz w:val="32"/>
          <w:szCs w:val="32"/>
          <w:highlight w:val="none"/>
          <w:lang w:val="en-US" w:eastAsia="zh-CN"/>
        </w:rPr>
        <w:t>注重</w:t>
      </w:r>
      <w:r>
        <w:rPr>
          <w:rFonts w:hint="eastAsia" w:ascii="仿宋_GB2312" w:hAnsi="宋体" w:eastAsia="仿宋_GB2312" w:cs="宋体"/>
          <w:color w:val="auto"/>
          <w:sz w:val="32"/>
          <w:szCs w:val="32"/>
          <w:highlight w:val="none"/>
        </w:rPr>
        <w:t>培养学生解决复杂问题的综合能力和高级思维</w:t>
      </w:r>
      <w:r>
        <w:rPr>
          <w:rFonts w:hint="eastAsia" w:ascii="仿宋_GB2312" w:hAnsi="宋体" w:eastAsia="仿宋_GB2312" w:cs="宋体"/>
          <w:color w:val="auto"/>
          <w:sz w:val="32"/>
          <w:szCs w:val="32"/>
          <w:highlight w:val="none"/>
          <w:lang w:eastAsia="zh-CN"/>
        </w:rPr>
        <w:t>，</w:t>
      </w:r>
      <w:r>
        <w:rPr>
          <w:rFonts w:hint="eastAsia" w:ascii="仿宋_GB2312" w:hAnsi="宋体" w:eastAsia="仿宋_GB2312" w:cs="宋体"/>
          <w:color w:val="auto"/>
          <w:sz w:val="32"/>
          <w:szCs w:val="32"/>
          <w:highlight w:val="none"/>
          <w:lang w:val="en-US" w:eastAsia="zh-CN"/>
        </w:rPr>
        <w:t>促进</w:t>
      </w:r>
      <w:r>
        <w:rPr>
          <w:rFonts w:hint="eastAsia" w:ascii="仿宋_GB2312" w:hAnsi="宋体" w:eastAsia="仿宋_GB2312" w:cs="宋体"/>
          <w:color w:val="auto"/>
          <w:sz w:val="32"/>
          <w:szCs w:val="32"/>
          <w:highlight w:val="none"/>
        </w:rPr>
        <w:t>知识能力素质的有机融合。</w:t>
      </w:r>
      <w:r>
        <w:rPr>
          <w:rFonts w:hint="eastAsia" w:ascii="仿宋_GB2312" w:hAnsi="宋体" w:eastAsia="仿宋_GB2312" w:cs="宋体"/>
          <w:color w:val="auto"/>
          <w:sz w:val="32"/>
          <w:szCs w:val="32"/>
          <w:highlight w:val="none"/>
          <w:lang w:val="en-US" w:eastAsia="zh-CN"/>
        </w:rPr>
        <w:t>突出课程“创新性”，在课程教学内容增加前沿性、时代性、综合性、研究性知识，</w:t>
      </w:r>
      <w:r>
        <w:rPr>
          <w:rFonts w:hint="eastAsia" w:ascii="仿宋_GB2312" w:hAnsi="宋体" w:eastAsia="仿宋_GB2312" w:cs="宋体"/>
          <w:color w:val="auto"/>
          <w:sz w:val="32"/>
          <w:szCs w:val="32"/>
          <w:highlight w:val="none"/>
        </w:rPr>
        <w:t>教学形式</w:t>
      </w:r>
      <w:r>
        <w:rPr>
          <w:rFonts w:hint="eastAsia" w:ascii="仿宋_GB2312" w:hAnsi="宋体" w:eastAsia="仿宋_GB2312" w:cs="宋体"/>
          <w:color w:val="auto"/>
          <w:sz w:val="32"/>
          <w:szCs w:val="32"/>
          <w:highlight w:val="none"/>
          <w:lang w:val="en-US" w:eastAsia="zh-CN"/>
        </w:rPr>
        <w:t>应</w:t>
      </w:r>
      <w:r>
        <w:rPr>
          <w:rFonts w:hint="eastAsia" w:ascii="仿宋_GB2312" w:hAnsi="宋体" w:eastAsia="仿宋_GB2312" w:cs="宋体"/>
          <w:color w:val="auto"/>
          <w:sz w:val="32"/>
          <w:szCs w:val="32"/>
          <w:highlight w:val="none"/>
        </w:rPr>
        <w:t>呈现先进性和互动性，学习结果</w:t>
      </w:r>
      <w:r>
        <w:rPr>
          <w:rFonts w:hint="eastAsia" w:ascii="仿宋_GB2312" w:hAnsi="宋体" w:eastAsia="仿宋_GB2312" w:cs="宋体"/>
          <w:color w:val="auto"/>
          <w:sz w:val="32"/>
          <w:szCs w:val="32"/>
          <w:highlight w:val="none"/>
          <w:lang w:val="en-US" w:eastAsia="zh-CN"/>
        </w:rPr>
        <w:t>应</w:t>
      </w:r>
      <w:r>
        <w:rPr>
          <w:rFonts w:hint="eastAsia" w:ascii="仿宋_GB2312" w:hAnsi="宋体" w:eastAsia="仿宋_GB2312" w:cs="宋体"/>
          <w:color w:val="auto"/>
          <w:sz w:val="32"/>
          <w:szCs w:val="32"/>
          <w:highlight w:val="none"/>
        </w:rPr>
        <w:t>具有探究性和个性化。</w:t>
      </w:r>
      <w:r>
        <w:rPr>
          <w:rFonts w:hint="eastAsia" w:ascii="仿宋_GB2312" w:hAnsi="宋体" w:eastAsia="仿宋_GB2312" w:cs="宋体"/>
          <w:color w:val="auto"/>
          <w:sz w:val="32"/>
          <w:szCs w:val="32"/>
          <w:highlight w:val="none"/>
          <w:lang w:val="en-US" w:eastAsia="zh-CN"/>
        </w:rPr>
        <w:t>增加课程</w:t>
      </w:r>
      <w:r>
        <w:rPr>
          <w:rFonts w:hint="eastAsia" w:ascii="仿宋_GB2312" w:hAnsi="宋体" w:eastAsia="仿宋_GB2312" w:cs="宋体"/>
          <w:color w:val="auto"/>
          <w:sz w:val="32"/>
          <w:szCs w:val="32"/>
          <w:highlight w:val="none"/>
          <w:lang w:eastAsia="zh-CN"/>
        </w:rPr>
        <w:t>“</w:t>
      </w:r>
      <w:r>
        <w:rPr>
          <w:rFonts w:hint="eastAsia" w:ascii="仿宋_GB2312" w:hAnsi="宋体" w:eastAsia="仿宋_GB2312" w:cs="宋体"/>
          <w:color w:val="auto"/>
          <w:sz w:val="32"/>
          <w:szCs w:val="32"/>
          <w:highlight w:val="none"/>
          <w:lang w:val="en-US" w:eastAsia="zh-CN"/>
        </w:rPr>
        <w:t>挑战度”，探索在课程教学内容、教学形式等方面多举措合理增加课程难度、拓展课程深度，切实加强课程内涵建设，提高课程教学质量。</w:t>
      </w:r>
    </w:p>
    <w:p>
      <w:pPr>
        <w:keepNext w:val="0"/>
        <w:keepLines w:val="0"/>
        <w:pageBreakBefore w:val="0"/>
        <w:widowControl w:val="0"/>
        <w:kinsoku/>
        <w:wordWrap/>
        <w:overflowPunct/>
        <w:topLinePunct w:val="0"/>
        <w:autoSpaceDE/>
        <w:autoSpaceDN/>
        <w:bidi w:val="0"/>
        <w:spacing w:line="560" w:lineRule="exact"/>
        <w:ind w:firstLine="562"/>
        <w:textAlignment w:val="auto"/>
        <w:rPr>
          <w:rFonts w:hint="eastAsia" w:ascii="仿宋_GB2312" w:hAnsi="宋体" w:eastAsia="仿宋_GB2312" w:cs="宋体"/>
          <w:color w:val="auto"/>
          <w:sz w:val="32"/>
          <w:szCs w:val="32"/>
          <w:highlight w:val="none"/>
          <w:lang w:val="en-US" w:eastAsia="zh-CN"/>
        </w:rPr>
      </w:pPr>
      <w:r>
        <w:rPr>
          <w:rFonts w:hint="eastAsia" w:ascii="仿宋_GB2312" w:hAnsi="宋体" w:eastAsia="仿宋_GB2312" w:cs="宋体"/>
          <w:b/>
          <w:bCs/>
          <w:color w:val="auto"/>
          <w:sz w:val="32"/>
          <w:szCs w:val="32"/>
          <w:highlight w:val="none"/>
          <w:lang w:val="en-US" w:eastAsia="zh-CN"/>
        </w:rPr>
        <w:t>3.突出OBE理念。</w:t>
      </w:r>
      <w:r>
        <w:rPr>
          <w:rFonts w:hint="eastAsia" w:ascii="仿宋_GB2312" w:hAnsi="宋体" w:eastAsia="仿宋_GB2312" w:cs="宋体"/>
          <w:color w:val="auto"/>
          <w:sz w:val="32"/>
          <w:szCs w:val="32"/>
          <w:highlight w:val="none"/>
          <w:lang w:val="en-US" w:eastAsia="zh-CN"/>
        </w:rPr>
        <w:t>以培养学生岗位胜任力的培养目标为导向，以毕业要求为</w:t>
      </w:r>
      <w:r>
        <w:rPr>
          <w:rFonts w:hint="eastAsia" w:ascii="仿宋_GB2312" w:hAnsi="宋体" w:eastAsia="仿宋_GB2312" w:cs="宋体"/>
          <w:b w:val="0"/>
          <w:bCs w:val="0"/>
          <w:color w:val="auto"/>
          <w:sz w:val="32"/>
          <w:szCs w:val="32"/>
          <w:highlight w:val="none"/>
          <w:lang w:val="en-US" w:eastAsia="zh-CN"/>
        </w:rPr>
        <w:t>遵循，采用逆向思维的方式</w:t>
      </w:r>
      <w:r>
        <w:rPr>
          <w:rFonts w:hint="eastAsia" w:ascii="仿宋_GB2312" w:hAnsi="宋体" w:eastAsia="仿宋_GB2312" w:cs="宋体"/>
          <w:color w:val="auto"/>
          <w:sz w:val="32"/>
          <w:szCs w:val="32"/>
          <w:highlight w:val="none"/>
          <w:lang w:val="en-US" w:eastAsia="zh-CN"/>
        </w:rPr>
        <w:t>反向设计课程目标，优化课程内容，重构课程体系，深化课程教学内容和教学方法改革</w:t>
      </w:r>
      <w:r>
        <w:rPr>
          <w:rFonts w:hint="default" w:ascii="仿宋_GB2312" w:hAnsi="宋体" w:eastAsia="仿宋_GB2312" w:cs="宋体"/>
          <w:color w:val="auto"/>
          <w:sz w:val="32"/>
          <w:szCs w:val="32"/>
          <w:highlight w:val="none"/>
          <w:lang w:val="en-US" w:eastAsia="zh-CN"/>
        </w:rPr>
        <w:t>。</w:t>
      </w:r>
      <w:r>
        <w:rPr>
          <w:rFonts w:hint="eastAsia" w:ascii="仿宋_GB2312" w:hAnsi="宋体" w:eastAsia="仿宋_GB2312" w:cs="宋体"/>
          <w:color w:val="auto"/>
          <w:sz w:val="32"/>
          <w:szCs w:val="32"/>
          <w:highlight w:val="none"/>
        </w:rPr>
        <w:t>课程设计要清楚地聚焦在学生在完成学习过程后能达成的最终学习成果</w:t>
      </w:r>
      <w:r>
        <w:rPr>
          <w:rFonts w:hint="eastAsia" w:ascii="仿宋_GB2312" w:hAnsi="宋体" w:eastAsia="仿宋_GB2312" w:cs="宋体"/>
          <w:color w:val="auto"/>
          <w:sz w:val="32"/>
          <w:szCs w:val="32"/>
          <w:highlight w:val="none"/>
          <w:lang w:eastAsia="zh-CN"/>
        </w:rPr>
        <w:t>，要充分考虑每个学生的个体差异。</w:t>
      </w:r>
      <w:r>
        <w:rPr>
          <w:rFonts w:hint="eastAsia" w:ascii="仿宋_GB2312" w:hAnsi="宋体" w:eastAsia="仿宋_GB2312" w:cs="宋体"/>
          <w:color w:val="auto"/>
          <w:sz w:val="32"/>
          <w:szCs w:val="32"/>
          <w:highlight w:val="none"/>
        </w:rPr>
        <w:t>要准确把握课程定位，</w:t>
      </w:r>
      <w:r>
        <w:rPr>
          <w:rFonts w:hint="eastAsia" w:ascii="仿宋_GB2312" w:hAnsi="宋体" w:eastAsia="仿宋_GB2312" w:cs="宋体"/>
          <w:color w:val="auto"/>
          <w:sz w:val="32"/>
          <w:szCs w:val="32"/>
          <w:highlight w:val="none"/>
          <w:lang w:val="en-US" w:eastAsia="zh-CN"/>
        </w:rPr>
        <w:t>明确</w:t>
      </w:r>
      <w:r>
        <w:rPr>
          <w:rFonts w:hint="eastAsia" w:ascii="仿宋_GB2312" w:hAnsi="宋体" w:eastAsia="仿宋_GB2312" w:cs="宋体"/>
          <w:color w:val="auto"/>
          <w:sz w:val="32"/>
          <w:szCs w:val="32"/>
          <w:highlight w:val="none"/>
        </w:rPr>
        <w:t>课程在专业人才培养方案中的作用、地位和要求，充分体现课程教学对人才培养规格的支撑度，对毕业要求的支撑度。</w:t>
      </w:r>
    </w:p>
    <w:p>
      <w:pPr>
        <w:keepNext w:val="0"/>
        <w:keepLines w:val="0"/>
        <w:pageBreakBefore w:val="0"/>
        <w:widowControl w:val="0"/>
        <w:kinsoku/>
        <w:wordWrap/>
        <w:overflowPunct/>
        <w:topLinePunct w:val="0"/>
        <w:autoSpaceDE/>
        <w:autoSpaceDN/>
        <w:bidi w:val="0"/>
        <w:spacing w:line="560" w:lineRule="exact"/>
        <w:ind w:firstLine="562"/>
        <w:textAlignment w:val="auto"/>
        <w:rPr>
          <w:rFonts w:hint="default" w:ascii="仿宋_GB2312" w:hAnsi="宋体" w:eastAsia="仿宋_GB2312" w:cs="宋体"/>
          <w:color w:val="auto"/>
          <w:sz w:val="32"/>
          <w:szCs w:val="32"/>
          <w:highlight w:val="none"/>
          <w:lang w:val="en-US" w:eastAsia="zh-CN"/>
        </w:rPr>
      </w:pPr>
      <w:r>
        <w:rPr>
          <w:rFonts w:hint="eastAsia" w:ascii="仿宋_GB2312" w:hAnsi="宋体" w:eastAsia="仿宋_GB2312" w:cs="宋体"/>
          <w:b/>
          <w:color w:val="auto"/>
          <w:sz w:val="32"/>
          <w:szCs w:val="32"/>
          <w:highlight w:val="none"/>
          <w:lang w:val="en-US" w:eastAsia="zh-CN"/>
        </w:rPr>
        <w:t>4</w:t>
      </w:r>
      <w:r>
        <w:rPr>
          <w:rFonts w:hint="eastAsia" w:ascii="仿宋_GB2312" w:hAnsi="宋体" w:eastAsia="仿宋_GB2312" w:cs="宋体"/>
          <w:b/>
          <w:color w:val="auto"/>
          <w:sz w:val="32"/>
          <w:szCs w:val="32"/>
          <w:highlight w:val="none"/>
        </w:rPr>
        <w:t>.</w:t>
      </w:r>
      <w:r>
        <w:rPr>
          <w:rFonts w:hint="eastAsia" w:ascii="仿宋_GB2312" w:hAnsi="宋体" w:eastAsia="仿宋_GB2312" w:cs="宋体"/>
          <w:b/>
          <w:color w:val="auto"/>
          <w:sz w:val="32"/>
          <w:szCs w:val="32"/>
          <w:highlight w:val="none"/>
          <w:lang w:val="en-US" w:eastAsia="zh-CN"/>
        </w:rPr>
        <w:t>完善考核</w:t>
      </w:r>
      <w:r>
        <w:rPr>
          <w:rFonts w:hint="eastAsia" w:ascii="仿宋_GB2312" w:hAnsi="宋体" w:eastAsia="仿宋_GB2312" w:cs="宋体"/>
          <w:b/>
          <w:color w:val="auto"/>
          <w:sz w:val="32"/>
          <w:szCs w:val="32"/>
          <w:highlight w:val="none"/>
        </w:rPr>
        <w:t>评价方式。</w:t>
      </w:r>
      <w:r>
        <w:rPr>
          <w:rFonts w:hint="eastAsia" w:ascii="仿宋_GB2312" w:hAnsi="宋体" w:eastAsia="仿宋_GB2312" w:cs="宋体"/>
          <w:b w:val="0"/>
          <w:bCs/>
          <w:color w:val="auto"/>
          <w:sz w:val="32"/>
          <w:szCs w:val="32"/>
          <w:highlight w:val="none"/>
        </w:rPr>
        <w:t>根据课程目标，结合课程性质</w:t>
      </w:r>
      <w:r>
        <w:rPr>
          <w:rFonts w:hint="eastAsia" w:ascii="仿宋_GB2312" w:hAnsi="宋体" w:eastAsia="仿宋_GB2312" w:cs="宋体"/>
          <w:b w:val="0"/>
          <w:bCs/>
          <w:color w:val="auto"/>
          <w:sz w:val="32"/>
          <w:szCs w:val="32"/>
          <w:highlight w:val="none"/>
          <w:lang w:eastAsia="zh-CN"/>
        </w:rPr>
        <w:t>，</w:t>
      </w:r>
      <w:r>
        <w:rPr>
          <w:rFonts w:hint="eastAsia" w:ascii="仿宋_GB2312" w:hAnsi="宋体" w:eastAsia="仿宋_GB2312" w:cs="宋体"/>
          <w:b w:val="0"/>
          <w:bCs/>
          <w:color w:val="auto"/>
          <w:sz w:val="32"/>
          <w:szCs w:val="32"/>
          <w:highlight w:val="none"/>
          <w:lang w:val="en-US" w:eastAsia="zh-CN"/>
        </w:rPr>
        <w:t>明确学业评价方式与考核形式。灵活采用</w:t>
      </w:r>
      <w:r>
        <w:rPr>
          <w:rFonts w:hint="default" w:ascii="仿宋_GB2312" w:hAnsi="宋体" w:eastAsia="仿宋_GB2312" w:cs="宋体"/>
          <w:color w:val="auto"/>
          <w:sz w:val="32"/>
          <w:szCs w:val="32"/>
          <w:highlight w:val="none"/>
          <w:lang w:val="en-US" w:eastAsia="zh-CN"/>
        </w:rPr>
        <w:t>闭卷笔试、开卷笔试、课程论文、案例分析、PPT汇报、口试、综合考查等多种形式</w:t>
      </w:r>
      <w:r>
        <w:rPr>
          <w:rFonts w:hint="eastAsia" w:ascii="仿宋_GB2312" w:hAnsi="宋体" w:eastAsia="仿宋_GB2312" w:cs="宋体"/>
          <w:color w:val="auto"/>
          <w:sz w:val="32"/>
          <w:szCs w:val="32"/>
          <w:highlight w:val="none"/>
        </w:rPr>
        <w:t>加强对学生课堂内外、线上线下学习的评价</w:t>
      </w:r>
      <w:r>
        <w:rPr>
          <w:rFonts w:hint="default" w:ascii="仿宋_GB2312" w:hAnsi="宋体" w:eastAsia="仿宋_GB2312" w:cs="宋体"/>
          <w:color w:val="auto"/>
          <w:sz w:val="32"/>
          <w:szCs w:val="32"/>
          <w:highlight w:val="none"/>
          <w:lang w:val="en-US" w:eastAsia="zh-CN"/>
        </w:rPr>
        <w:t>。注重学习过程性考核，适当加大过程性成绩在总成绩中的比重</w:t>
      </w:r>
      <w:r>
        <w:rPr>
          <w:rFonts w:hint="eastAsia" w:ascii="仿宋_GB2312" w:hAnsi="宋体" w:eastAsia="仿宋_GB2312" w:cs="宋体"/>
          <w:color w:val="auto"/>
          <w:sz w:val="32"/>
          <w:szCs w:val="32"/>
          <w:highlight w:val="none"/>
          <w:lang w:val="en-US" w:eastAsia="zh-CN"/>
        </w:rPr>
        <w:t>，强化</w:t>
      </w:r>
      <w:r>
        <w:rPr>
          <w:rFonts w:hint="default" w:ascii="仿宋_GB2312" w:hAnsi="宋体" w:eastAsia="仿宋_GB2312" w:cs="宋体"/>
          <w:color w:val="auto"/>
          <w:sz w:val="32"/>
          <w:szCs w:val="32"/>
          <w:highlight w:val="none"/>
          <w:lang w:val="en-US" w:eastAsia="zh-CN"/>
        </w:rPr>
        <w:t>过程性考核的教学设计，多维度、各环节调动学生听课和主动思考的积极性。</w:t>
      </w:r>
      <w:r>
        <w:rPr>
          <w:rFonts w:hint="eastAsia" w:ascii="仿宋_GB2312" w:hAnsi="宋体" w:eastAsia="仿宋_GB2312" w:cs="宋体"/>
          <w:color w:val="auto"/>
          <w:sz w:val="32"/>
          <w:szCs w:val="32"/>
          <w:highlight w:val="none"/>
        </w:rPr>
        <w:t>构建课程建设共同体，课程团队定期分享教学评价心得体会，以持续改进、</w:t>
      </w:r>
      <w:r>
        <w:rPr>
          <w:rFonts w:hint="eastAsia" w:ascii="仿宋_GB2312" w:hAnsi="宋体" w:eastAsia="仿宋_GB2312" w:cs="宋体"/>
          <w:color w:val="auto"/>
          <w:sz w:val="32"/>
          <w:szCs w:val="32"/>
          <w:highlight w:val="none"/>
          <w:lang w:val="en-US" w:eastAsia="zh-CN"/>
        </w:rPr>
        <w:t>提高教学水平</w:t>
      </w:r>
      <w:r>
        <w:rPr>
          <w:rFonts w:hint="eastAsia" w:ascii="仿宋_GB2312" w:hAnsi="宋体" w:eastAsia="仿宋_GB2312" w:cs="宋体"/>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562"/>
        <w:textAlignment w:val="auto"/>
        <w:rPr>
          <w:rFonts w:hint="eastAsia" w:ascii="仿宋_GB2312" w:hAnsi="宋体" w:eastAsia="仿宋_GB2312" w:cs="宋体"/>
          <w:color w:val="auto"/>
          <w:sz w:val="32"/>
          <w:szCs w:val="32"/>
          <w:highlight w:val="none"/>
          <w:lang w:eastAsia="zh-CN"/>
        </w:rPr>
      </w:pPr>
      <w:r>
        <w:rPr>
          <w:rFonts w:hint="eastAsia" w:ascii="仿宋_GB2312" w:hAnsi="宋体" w:eastAsia="仿宋_GB2312" w:cs="宋体"/>
          <w:b/>
          <w:color w:val="auto"/>
          <w:sz w:val="32"/>
          <w:szCs w:val="32"/>
          <w:highlight w:val="none"/>
          <w:lang w:val="en-US" w:eastAsia="zh-CN"/>
        </w:rPr>
        <w:t>5</w:t>
      </w:r>
      <w:r>
        <w:rPr>
          <w:rFonts w:hint="eastAsia" w:ascii="仿宋_GB2312" w:hAnsi="宋体" w:eastAsia="仿宋_GB2312" w:cs="宋体"/>
          <w:b/>
          <w:color w:val="auto"/>
          <w:sz w:val="32"/>
          <w:szCs w:val="32"/>
          <w:highlight w:val="none"/>
        </w:rPr>
        <w:t>.促进信息技术</w:t>
      </w:r>
      <w:r>
        <w:rPr>
          <w:rFonts w:hint="eastAsia" w:ascii="仿宋_GB2312" w:hAnsi="宋体" w:eastAsia="仿宋_GB2312" w:cs="宋体"/>
          <w:b/>
          <w:color w:val="auto"/>
          <w:sz w:val="32"/>
          <w:szCs w:val="32"/>
          <w:highlight w:val="none"/>
          <w:lang w:eastAsia="zh-CN"/>
        </w:rPr>
        <w:t>、</w:t>
      </w:r>
      <w:r>
        <w:rPr>
          <w:rFonts w:hint="eastAsia" w:ascii="仿宋_GB2312" w:hAnsi="宋体" w:eastAsia="仿宋_GB2312" w:cs="宋体"/>
          <w:b/>
          <w:color w:val="auto"/>
          <w:sz w:val="32"/>
          <w:szCs w:val="32"/>
          <w:highlight w:val="none"/>
          <w:lang w:val="en-US" w:eastAsia="zh-CN"/>
        </w:rPr>
        <w:t>英语等工具学科</w:t>
      </w:r>
      <w:r>
        <w:rPr>
          <w:rFonts w:hint="eastAsia" w:ascii="仿宋_GB2312" w:hAnsi="宋体" w:eastAsia="仿宋_GB2312" w:cs="宋体"/>
          <w:b/>
          <w:color w:val="auto"/>
          <w:sz w:val="32"/>
          <w:szCs w:val="32"/>
          <w:highlight w:val="none"/>
        </w:rPr>
        <w:t>与</w:t>
      </w:r>
      <w:r>
        <w:rPr>
          <w:rFonts w:hint="eastAsia" w:ascii="仿宋_GB2312" w:hAnsi="宋体" w:eastAsia="仿宋_GB2312" w:cs="宋体"/>
          <w:b/>
          <w:color w:val="auto"/>
          <w:sz w:val="32"/>
          <w:szCs w:val="32"/>
          <w:highlight w:val="none"/>
          <w:lang w:val="en-US" w:eastAsia="zh-CN"/>
        </w:rPr>
        <w:t>专业</w:t>
      </w:r>
      <w:r>
        <w:rPr>
          <w:rFonts w:hint="eastAsia" w:ascii="仿宋_GB2312" w:hAnsi="宋体" w:eastAsia="仿宋_GB2312" w:cs="宋体"/>
          <w:b/>
          <w:color w:val="auto"/>
          <w:sz w:val="32"/>
          <w:szCs w:val="32"/>
          <w:highlight w:val="none"/>
        </w:rPr>
        <w:t>教学深度融合</w:t>
      </w:r>
      <w:r>
        <w:rPr>
          <w:rFonts w:hint="eastAsia" w:ascii="仿宋_GB2312" w:hAnsi="宋体" w:eastAsia="仿宋_GB2312" w:cs="宋体"/>
          <w:b/>
          <w:color w:val="auto"/>
          <w:sz w:val="32"/>
          <w:szCs w:val="32"/>
          <w:highlight w:val="none"/>
          <w:lang w:val="en-US" w:eastAsia="zh-CN"/>
        </w:rPr>
        <w:t>。</w:t>
      </w:r>
      <w:r>
        <w:rPr>
          <w:rFonts w:hint="eastAsia" w:ascii="仿宋_GB2312" w:hAnsi="宋体" w:eastAsia="仿宋_GB2312" w:cs="宋体"/>
          <w:b w:val="0"/>
          <w:bCs/>
          <w:color w:val="auto"/>
          <w:sz w:val="32"/>
          <w:szCs w:val="32"/>
          <w:highlight w:val="none"/>
          <w:lang w:val="en-US" w:eastAsia="zh-CN"/>
        </w:rPr>
        <w:t>充分发挥现代信息技术对课程教与学的支持与服务功能，积极探索启发式、讨论式、参与式、案例式、翻转课堂等新型教学方式，充分调动学生学习积极性，激励学生自主学习。AI人工智能教学虚拟教研室与各专业联合制定课程标准，每门课程AI人工智能与专业课融合（案例项目制）部分占总课时不少于3课时；英语教研室与各专业联合制定课程标准，每门课程专业英语（专业英文文献案例项目制）部分占总课时不少于3课时.鼓励教师充分</w:t>
      </w:r>
      <w:r>
        <w:rPr>
          <w:rFonts w:hint="default" w:ascii="仿宋_GB2312" w:hAnsi="宋体" w:eastAsia="仿宋_GB2312" w:cs="宋体"/>
          <w:b w:val="0"/>
          <w:bCs/>
          <w:color w:val="auto"/>
          <w:sz w:val="32"/>
          <w:szCs w:val="32"/>
          <w:highlight w:val="none"/>
          <w:lang w:val="en-US" w:eastAsia="zh-CN"/>
        </w:rPr>
        <w:t>应用在线教学平台</w:t>
      </w:r>
      <w:r>
        <w:rPr>
          <w:rFonts w:hint="eastAsia" w:ascii="仿宋_GB2312" w:hAnsi="宋体" w:eastAsia="仿宋_GB2312" w:cs="宋体"/>
          <w:b w:val="0"/>
          <w:bCs/>
          <w:color w:val="auto"/>
          <w:sz w:val="32"/>
          <w:szCs w:val="32"/>
          <w:highlight w:val="none"/>
          <w:lang w:val="en-US" w:eastAsia="zh-CN"/>
        </w:rPr>
        <w:t>、智慧教室、虚拟实验室</w:t>
      </w:r>
      <w:r>
        <w:rPr>
          <w:rFonts w:hint="default" w:ascii="仿宋_GB2312" w:hAnsi="宋体" w:eastAsia="仿宋_GB2312" w:cs="宋体"/>
          <w:b w:val="0"/>
          <w:bCs/>
          <w:color w:val="auto"/>
          <w:sz w:val="32"/>
          <w:szCs w:val="32"/>
          <w:highlight w:val="none"/>
          <w:lang w:val="en-US" w:eastAsia="zh-CN"/>
        </w:rPr>
        <w:t>等</w:t>
      </w:r>
      <w:r>
        <w:rPr>
          <w:rFonts w:hint="eastAsia" w:ascii="仿宋_GB2312" w:hAnsi="宋体" w:eastAsia="仿宋_GB2312" w:cs="宋体"/>
          <w:b w:val="0"/>
          <w:bCs/>
          <w:color w:val="auto"/>
          <w:sz w:val="32"/>
          <w:szCs w:val="32"/>
          <w:highlight w:val="none"/>
          <w:lang w:val="en-US" w:eastAsia="zh-CN"/>
        </w:rPr>
        <w:t>数字</w:t>
      </w:r>
      <w:r>
        <w:rPr>
          <w:rFonts w:hint="eastAsia" w:ascii="仿宋_GB2312" w:hAnsi="宋体" w:eastAsia="仿宋_GB2312" w:cs="宋体"/>
          <w:color w:val="auto"/>
          <w:sz w:val="32"/>
          <w:szCs w:val="32"/>
          <w:highlight w:val="none"/>
          <w:lang w:val="en-US" w:eastAsia="zh-CN"/>
        </w:rPr>
        <w:t>教学工具</w:t>
      </w:r>
      <w:r>
        <w:rPr>
          <w:rFonts w:hint="default" w:ascii="仿宋_GB2312" w:hAnsi="宋体" w:eastAsia="仿宋_GB2312" w:cs="宋体"/>
          <w:color w:val="auto"/>
          <w:sz w:val="32"/>
          <w:szCs w:val="32"/>
          <w:highlight w:val="none"/>
          <w:lang w:val="en-US"/>
        </w:rPr>
        <w:t>，</w:t>
      </w:r>
      <w:r>
        <w:rPr>
          <w:rFonts w:hint="eastAsia" w:ascii="仿宋_GB2312" w:hAnsi="宋体" w:eastAsia="仿宋_GB2312" w:cs="宋体"/>
          <w:color w:val="auto"/>
          <w:sz w:val="32"/>
          <w:szCs w:val="32"/>
          <w:highlight w:val="none"/>
        </w:rPr>
        <w:t>开展线上线下融合教学</w:t>
      </w:r>
      <w:r>
        <w:rPr>
          <w:rFonts w:hint="eastAsia" w:ascii="仿宋_GB2312" w:hAnsi="宋体" w:eastAsia="仿宋_GB2312" w:cs="宋体"/>
          <w:color w:val="auto"/>
          <w:sz w:val="32"/>
          <w:szCs w:val="32"/>
          <w:highlight w:val="none"/>
          <w:lang w:eastAsia="zh-CN"/>
        </w:rPr>
        <w:t>，</w:t>
      </w:r>
      <w:r>
        <w:rPr>
          <w:rFonts w:hint="eastAsia" w:ascii="仿宋_GB2312" w:hAnsi="宋体" w:eastAsia="仿宋_GB2312" w:cs="宋体"/>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60" w:lineRule="exact"/>
        <w:ind w:firstLine="562"/>
        <w:textAlignment w:val="auto"/>
        <w:rPr>
          <w:rFonts w:hint="eastAsia" w:ascii="仿宋_GB2312" w:hAnsi="宋体" w:eastAsia="仿宋_GB2312" w:cs="宋体"/>
          <w:b w:val="0"/>
          <w:bCs/>
          <w:color w:val="auto"/>
          <w:sz w:val="32"/>
          <w:szCs w:val="32"/>
          <w:highlight w:val="none"/>
          <w:lang w:val="en-US" w:eastAsia="zh-CN"/>
        </w:rPr>
      </w:pPr>
      <w:r>
        <w:rPr>
          <w:rFonts w:hint="eastAsia" w:ascii="仿宋_GB2312" w:hAnsi="宋体" w:eastAsia="仿宋_GB2312" w:cs="宋体"/>
          <w:b/>
          <w:bCs w:val="0"/>
          <w:color w:val="auto"/>
          <w:sz w:val="32"/>
          <w:szCs w:val="32"/>
          <w:highlight w:val="none"/>
          <w:lang w:val="en-US" w:eastAsia="zh-CN"/>
        </w:rPr>
        <w:t>6. 课堂外教学：</w:t>
      </w:r>
      <w:r>
        <w:rPr>
          <w:rFonts w:hint="eastAsia" w:ascii="仿宋_GB2312" w:hAnsi="宋体" w:eastAsia="仿宋_GB2312" w:cs="宋体"/>
          <w:color w:val="auto"/>
          <w:sz w:val="32"/>
          <w:szCs w:val="32"/>
          <w:highlight w:val="none"/>
          <w:lang w:val="en-US" w:eastAsia="zh-CN"/>
        </w:rPr>
        <w:t>为</w:t>
      </w:r>
      <w:r>
        <w:rPr>
          <w:rFonts w:hint="eastAsia" w:ascii="仿宋_GB2312" w:hAnsi="宋体" w:eastAsia="仿宋_GB2312" w:cs="宋体"/>
          <w:color w:val="auto"/>
          <w:sz w:val="32"/>
          <w:szCs w:val="32"/>
          <w:highlight w:val="none"/>
        </w:rPr>
        <w:t>满足学生个性化学习需要</w:t>
      </w:r>
      <w:r>
        <w:rPr>
          <w:rFonts w:hint="eastAsia" w:ascii="仿宋_GB2312" w:hAnsi="宋体" w:eastAsia="仿宋_GB2312" w:cs="宋体"/>
          <w:color w:val="auto"/>
          <w:sz w:val="32"/>
          <w:szCs w:val="32"/>
          <w:highlight w:val="none"/>
          <w:lang w:eastAsia="zh-CN"/>
        </w:rPr>
        <w:t>，不断提升学生的课程学习体</w:t>
      </w:r>
      <w:r>
        <w:rPr>
          <w:rFonts w:hint="eastAsia" w:ascii="仿宋_GB2312" w:hAnsi="宋体" w:eastAsia="仿宋_GB2312" w:cs="宋体"/>
          <w:color w:val="auto"/>
          <w:sz w:val="32"/>
          <w:szCs w:val="32"/>
          <w:highlight w:val="none"/>
          <w:lang w:val="en-US" w:eastAsia="zh-CN"/>
        </w:rPr>
        <w:t>验、学习效果，</w:t>
      </w:r>
      <w:r>
        <w:rPr>
          <w:rFonts w:hint="eastAsia" w:ascii="仿宋_GB2312" w:hAnsi="宋体" w:eastAsia="仿宋_GB2312" w:cs="宋体"/>
          <w:color w:val="auto"/>
          <w:sz w:val="32"/>
          <w:szCs w:val="32"/>
          <w:highlight w:val="yellow"/>
          <w:lang w:val="en-US" w:eastAsia="zh-CN"/>
        </w:rPr>
        <w:t>每门课程不少于2课时通过课堂外完成，该类型教学不占课堂时间，不拘泥教学形式，不计入课堂学时，教学过程通过教学平台留痕（师生过程材料实时上传教学平台），课堂外教学学分算入课程总学分。</w:t>
      </w:r>
      <w:r>
        <w:rPr>
          <w:rFonts w:hint="eastAsia" w:ascii="仿宋_GB2312" w:hAnsi="宋体" w:eastAsia="仿宋_GB2312" w:cs="宋体"/>
          <w:color w:val="auto"/>
          <w:sz w:val="32"/>
          <w:szCs w:val="32"/>
          <w:highlight w:val="none"/>
          <w:lang w:val="en-US" w:eastAsia="zh-CN"/>
        </w:rPr>
        <w:t>可选</w:t>
      </w:r>
      <w:bookmarkStart w:id="0" w:name="_GoBack"/>
      <w:bookmarkEnd w:id="0"/>
      <w:r>
        <w:rPr>
          <w:rFonts w:hint="eastAsia" w:ascii="仿宋_GB2312" w:hAnsi="宋体" w:eastAsia="仿宋_GB2312" w:cs="宋体"/>
          <w:color w:val="auto"/>
          <w:sz w:val="32"/>
          <w:szCs w:val="32"/>
          <w:highlight w:val="none"/>
          <w:lang w:val="en-US" w:eastAsia="zh-CN"/>
        </w:rPr>
        <w:t>授课形式可包括：项目化教学(案例讲座、科研探究实验、实习见习、校企合作)、导师制、线上课程、竞赛科研学分替代等。原则上每门课程讲授部分内容分两个教学周期逐步推进不少于10%课时，思政类、通识类、基础课程不少于20%课时，大学美育基础、创新教育与创业基础（一）~（四）、医学伦理学、大学语文、大学生职业发展与就业创业指导（一）~（四）、医学心理学与大学生心理健康教育、军事理论、劳动通识与实践、</w:t>
      </w:r>
      <w:r>
        <w:rPr>
          <w:rFonts w:hint="eastAsia" w:ascii="仿宋_GB2312" w:hAnsi="宋体" w:eastAsia="仿宋_GB2312" w:cs="宋体"/>
          <w:b w:val="0"/>
          <w:bCs/>
          <w:color w:val="auto"/>
          <w:sz w:val="32"/>
          <w:szCs w:val="32"/>
          <w:highlight w:val="none"/>
          <w:lang w:val="en-US" w:eastAsia="zh-CN"/>
        </w:rPr>
        <w:t>医学文献检索等不少于50%课时通过课堂外教学完成。</w:t>
      </w:r>
    </w:p>
    <w:p>
      <w:pPr>
        <w:keepNext w:val="0"/>
        <w:keepLines w:val="0"/>
        <w:pageBreakBefore w:val="0"/>
        <w:widowControl w:val="0"/>
        <w:kinsoku/>
        <w:wordWrap/>
        <w:overflowPunct/>
        <w:topLinePunct w:val="0"/>
        <w:autoSpaceDE/>
        <w:autoSpaceDN/>
        <w:bidi w:val="0"/>
        <w:spacing w:line="560" w:lineRule="exact"/>
        <w:ind w:firstLine="560"/>
        <w:textAlignment w:val="auto"/>
        <w:rPr>
          <w:rFonts w:hint="eastAsia" w:ascii="仿宋_GB2312" w:hAnsi="黑体" w:eastAsia="仿宋_GB2312" w:cs="宋体"/>
          <w:b/>
          <w:bCs/>
          <w:color w:val="auto"/>
          <w:sz w:val="32"/>
          <w:szCs w:val="32"/>
          <w:highlight w:val="none"/>
        </w:rPr>
      </w:pPr>
      <w:r>
        <w:rPr>
          <w:rFonts w:hint="eastAsia" w:ascii="仿宋_GB2312" w:hAnsi="黑体" w:eastAsia="仿宋_GB2312" w:cs="宋体"/>
          <w:b/>
          <w:bCs/>
          <w:color w:val="auto"/>
          <w:sz w:val="32"/>
          <w:szCs w:val="32"/>
          <w:highlight w:val="none"/>
          <w:lang w:val="en-US" w:eastAsia="zh-CN"/>
        </w:rPr>
        <w:t>四</w:t>
      </w:r>
      <w:r>
        <w:rPr>
          <w:rFonts w:hint="eastAsia" w:ascii="仿宋_GB2312" w:hAnsi="黑体" w:eastAsia="仿宋_GB2312" w:cs="宋体"/>
          <w:b/>
          <w:bCs/>
          <w:color w:val="auto"/>
          <w:sz w:val="32"/>
          <w:szCs w:val="32"/>
          <w:highlight w:val="none"/>
        </w:rPr>
        <w:t>、进程安排</w:t>
      </w:r>
    </w:p>
    <w:p>
      <w:pPr>
        <w:keepNext w:val="0"/>
        <w:keepLines w:val="0"/>
        <w:pageBreakBefore w:val="0"/>
        <w:widowControl w:val="0"/>
        <w:kinsoku/>
        <w:wordWrap/>
        <w:overflowPunct/>
        <w:topLinePunct w:val="0"/>
        <w:autoSpaceDE/>
        <w:autoSpaceDN/>
        <w:bidi w:val="0"/>
        <w:spacing w:line="560" w:lineRule="exact"/>
        <w:ind w:firstLine="562"/>
        <w:textAlignment w:val="auto"/>
        <w:rPr>
          <w:rFonts w:hint="eastAsia" w:ascii="仿宋_GB2312" w:hAnsi="Times New Roman" w:eastAsia="仿宋_GB2312"/>
          <w:b/>
          <w:color w:val="auto"/>
          <w:sz w:val="32"/>
          <w:szCs w:val="32"/>
          <w:highlight w:val="none"/>
        </w:rPr>
      </w:pPr>
      <w:r>
        <w:rPr>
          <w:rFonts w:hint="eastAsia" w:ascii="仿宋_GB2312" w:hAnsi="Times New Roman" w:eastAsia="仿宋_GB2312"/>
          <w:b/>
          <w:color w:val="auto"/>
          <w:sz w:val="32"/>
          <w:szCs w:val="32"/>
          <w:highlight w:val="none"/>
        </w:rPr>
        <w:t>1.组织</w:t>
      </w:r>
      <w:r>
        <w:rPr>
          <w:rFonts w:hint="eastAsia" w:ascii="仿宋_GB2312" w:hAnsi="Times New Roman" w:eastAsia="仿宋_GB2312"/>
          <w:b/>
          <w:bCs/>
          <w:color w:val="auto"/>
          <w:sz w:val="32"/>
          <w:szCs w:val="32"/>
          <w:highlight w:val="none"/>
          <w:lang w:val="en-US" w:eastAsia="zh-CN"/>
        </w:rPr>
        <w:t>编制</w:t>
      </w:r>
    </w:p>
    <w:p>
      <w:pPr>
        <w:keepNext w:val="0"/>
        <w:keepLines w:val="0"/>
        <w:pageBreakBefore w:val="0"/>
        <w:widowControl w:val="0"/>
        <w:kinsoku/>
        <w:wordWrap/>
        <w:overflowPunct/>
        <w:topLinePunct w:val="0"/>
        <w:autoSpaceDE/>
        <w:autoSpaceDN/>
        <w:bidi w:val="0"/>
        <w:spacing w:line="560" w:lineRule="exact"/>
        <w:ind w:firstLine="560"/>
        <w:textAlignment w:val="auto"/>
        <w:rPr>
          <w:rFonts w:hint="default" w:ascii="仿宋_GB2312" w:hAnsi="Times New Roman" w:eastAsia="仿宋_GB2312"/>
          <w:color w:val="auto"/>
          <w:sz w:val="32"/>
          <w:szCs w:val="32"/>
          <w:highlight w:val="none"/>
          <w:lang w:val="en-US" w:eastAsia="zh-CN"/>
        </w:rPr>
      </w:pPr>
      <w:r>
        <w:rPr>
          <w:rFonts w:hint="eastAsia" w:ascii="仿宋_GB2312" w:hAnsi="Times New Roman" w:eastAsia="仿宋_GB2312"/>
          <w:color w:val="auto"/>
          <w:sz w:val="32"/>
          <w:szCs w:val="32"/>
          <w:highlight w:val="none"/>
          <w:lang w:val="en-US" w:eastAsia="zh-CN"/>
        </w:rPr>
        <w:t>8</w:t>
      </w:r>
      <w:r>
        <w:rPr>
          <w:rFonts w:hint="eastAsia" w:ascii="仿宋_GB2312" w:hAnsi="Times New Roman" w:eastAsia="仿宋_GB2312"/>
          <w:color w:val="auto"/>
          <w:sz w:val="32"/>
          <w:szCs w:val="32"/>
          <w:highlight w:val="none"/>
        </w:rPr>
        <w:t>月</w:t>
      </w:r>
      <w:r>
        <w:rPr>
          <w:rFonts w:hint="eastAsia" w:ascii="仿宋_GB2312" w:hAnsi="Times New Roman" w:eastAsia="仿宋_GB2312"/>
          <w:color w:val="auto"/>
          <w:sz w:val="32"/>
          <w:szCs w:val="32"/>
          <w:highlight w:val="none"/>
          <w:lang w:val="en-US" w:eastAsia="zh-CN"/>
        </w:rPr>
        <w:t>13</w:t>
      </w:r>
      <w:r>
        <w:rPr>
          <w:rFonts w:hint="eastAsia" w:ascii="仿宋_GB2312" w:hAnsi="Times New Roman" w:eastAsia="仿宋_GB2312"/>
          <w:color w:val="auto"/>
          <w:sz w:val="32"/>
          <w:szCs w:val="32"/>
          <w:highlight w:val="none"/>
        </w:rPr>
        <w:t>日——</w:t>
      </w:r>
      <w:r>
        <w:rPr>
          <w:rFonts w:hint="eastAsia" w:ascii="仿宋_GB2312" w:hAnsi="Times New Roman" w:eastAsia="仿宋_GB2312"/>
          <w:color w:val="auto"/>
          <w:sz w:val="32"/>
          <w:szCs w:val="32"/>
          <w:highlight w:val="none"/>
          <w:lang w:val="en-US" w:eastAsia="zh-CN"/>
        </w:rPr>
        <w:t>8</w:t>
      </w:r>
      <w:r>
        <w:rPr>
          <w:rFonts w:hint="eastAsia" w:ascii="仿宋_GB2312" w:hAnsi="Times New Roman" w:eastAsia="仿宋_GB2312"/>
          <w:color w:val="auto"/>
          <w:sz w:val="32"/>
          <w:szCs w:val="32"/>
          <w:highlight w:val="none"/>
        </w:rPr>
        <w:t>月</w:t>
      </w:r>
      <w:r>
        <w:rPr>
          <w:rFonts w:hint="eastAsia" w:ascii="仿宋_GB2312" w:hAnsi="Times New Roman" w:eastAsia="仿宋_GB2312"/>
          <w:color w:val="auto"/>
          <w:sz w:val="32"/>
          <w:szCs w:val="32"/>
          <w:highlight w:val="none"/>
          <w:lang w:val="en-US" w:eastAsia="zh-CN"/>
        </w:rPr>
        <w:t>16</w:t>
      </w:r>
      <w:r>
        <w:rPr>
          <w:rFonts w:hint="eastAsia" w:ascii="仿宋_GB2312" w:hAnsi="Times New Roman" w:eastAsia="仿宋_GB2312"/>
          <w:color w:val="auto"/>
          <w:sz w:val="32"/>
          <w:szCs w:val="32"/>
          <w:highlight w:val="none"/>
        </w:rPr>
        <w:t>日，各</w:t>
      </w:r>
      <w:r>
        <w:rPr>
          <w:rFonts w:hint="eastAsia" w:ascii="仿宋_GB2312" w:hAnsi="宋体" w:eastAsia="仿宋_GB2312" w:cs="宋体"/>
          <w:b w:val="0"/>
          <w:bCs/>
          <w:color w:val="auto"/>
          <w:sz w:val="32"/>
          <w:szCs w:val="32"/>
          <w:highlight w:val="none"/>
          <w:lang w:val="en-US" w:eastAsia="zh-CN"/>
        </w:rPr>
        <w:t>学院成立课程标准制定工作领导组，召开教师大会动员部署，并将课程任务（2023版</w:t>
      </w:r>
      <w:r>
        <w:rPr>
          <w:rFonts w:hint="eastAsia" w:ascii="仿宋_GB2312" w:hAnsi="宋体" w:eastAsia="仿宋_GB2312" w:cs="宋体"/>
          <w:color w:val="auto"/>
          <w:sz w:val="32"/>
          <w:szCs w:val="32"/>
          <w:highlight w:val="none"/>
          <w:lang w:val="en-US" w:eastAsia="zh-CN"/>
        </w:rPr>
        <w:t>课程清单</w:t>
      </w:r>
      <w:r>
        <w:rPr>
          <w:rFonts w:hint="eastAsia" w:ascii="仿宋_GB2312" w:hAnsi="宋体" w:eastAsia="仿宋_GB2312" w:cs="宋体"/>
          <w:b w:val="0"/>
          <w:bCs/>
          <w:color w:val="auto"/>
          <w:sz w:val="32"/>
          <w:szCs w:val="32"/>
          <w:highlight w:val="none"/>
          <w:lang w:val="en-US" w:eastAsia="zh-CN"/>
        </w:rPr>
        <w:t>附件2）分解到教研室或课程组。</w:t>
      </w:r>
      <w:r>
        <w:rPr>
          <w:rFonts w:hint="eastAsia" w:ascii="仿宋_GB2312" w:hAnsi="Times New Roman" w:eastAsia="仿宋_GB2312"/>
          <w:color w:val="auto"/>
          <w:sz w:val="32"/>
          <w:szCs w:val="32"/>
          <w:highlight w:val="none"/>
        </w:rPr>
        <w:t>各教研室或课程组成立课程标准制定小组，明确成员分工，组织教师</w:t>
      </w:r>
      <w:r>
        <w:rPr>
          <w:rFonts w:hint="eastAsia" w:ascii="仿宋_GB2312" w:hAnsi="Times New Roman" w:eastAsia="仿宋_GB2312"/>
          <w:color w:val="auto"/>
          <w:sz w:val="32"/>
          <w:szCs w:val="32"/>
          <w:highlight w:val="none"/>
          <w:lang w:val="en-US" w:eastAsia="zh-CN"/>
        </w:rPr>
        <w:t>开展</w:t>
      </w:r>
      <w:r>
        <w:rPr>
          <w:rFonts w:hint="eastAsia" w:ascii="仿宋_GB2312" w:hAnsi="Times New Roman" w:eastAsia="仿宋_GB2312"/>
          <w:color w:val="auto"/>
          <w:sz w:val="32"/>
          <w:szCs w:val="32"/>
          <w:highlight w:val="none"/>
        </w:rPr>
        <w:t>专题调研和研讨，</w:t>
      </w:r>
      <w:r>
        <w:rPr>
          <w:rFonts w:hint="eastAsia" w:ascii="仿宋_GB2312" w:hAnsi="Times New Roman" w:eastAsia="仿宋_GB2312"/>
          <w:color w:val="auto"/>
          <w:sz w:val="32"/>
          <w:szCs w:val="32"/>
          <w:highlight w:val="none"/>
          <w:lang w:val="en-US" w:eastAsia="zh-CN"/>
        </w:rPr>
        <w:t>在此基础上</w:t>
      </w:r>
      <w:r>
        <w:rPr>
          <w:rFonts w:hint="eastAsia" w:ascii="仿宋_GB2312" w:hAnsi="Times New Roman" w:eastAsia="仿宋_GB2312"/>
          <w:color w:val="auto"/>
          <w:sz w:val="32"/>
          <w:szCs w:val="32"/>
          <w:highlight w:val="none"/>
        </w:rPr>
        <w:t>提出课程标准编写的基本思路</w:t>
      </w:r>
      <w:r>
        <w:rPr>
          <w:rFonts w:hint="eastAsia" w:ascii="仿宋_GB2312" w:hAnsi="Times New Roman" w:eastAsia="仿宋_GB2312"/>
          <w:color w:val="auto"/>
          <w:sz w:val="32"/>
          <w:szCs w:val="32"/>
          <w:highlight w:val="none"/>
          <w:lang w:eastAsia="zh-CN"/>
        </w:rPr>
        <w:t>，</w:t>
      </w:r>
      <w:r>
        <w:rPr>
          <w:rFonts w:hint="eastAsia" w:ascii="仿宋_GB2312" w:hAnsi="Times New Roman" w:eastAsia="仿宋_GB2312"/>
          <w:color w:val="auto"/>
          <w:sz w:val="32"/>
          <w:szCs w:val="32"/>
          <w:highlight w:val="none"/>
          <w:lang w:val="en-US" w:eastAsia="zh-CN"/>
        </w:rPr>
        <w:t>并</w:t>
      </w:r>
      <w:r>
        <w:rPr>
          <w:rFonts w:hint="eastAsia" w:ascii="仿宋_GB2312" w:hAnsi="Times New Roman" w:eastAsia="仿宋_GB2312"/>
          <w:color w:val="auto"/>
          <w:sz w:val="32"/>
          <w:szCs w:val="32"/>
          <w:highlight w:val="none"/>
        </w:rPr>
        <w:t>安排教学经验和专业实践经验丰富的教师负责执笔起草。</w:t>
      </w:r>
    </w:p>
    <w:p>
      <w:pPr>
        <w:keepNext w:val="0"/>
        <w:keepLines w:val="0"/>
        <w:pageBreakBefore w:val="0"/>
        <w:widowControl w:val="0"/>
        <w:kinsoku/>
        <w:wordWrap/>
        <w:overflowPunct/>
        <w:topLinePunct w:val="0"/>
        <w:autoSpaceDE/>
        <w:autoSpaceDN/>
        <w:bidi w:val="0"/>
        <w:spacing w:line="560" w:lineRule="exact"/>
        <w:ind w:firstLine="562"/>
        <w:textAlignment w:val="auto"/>
        <w:rPr>
          <w:rFonts w:hint="eastAsia" w:ascii="仿宋_GB2312" w:hAnsi="Times New Roman" w:eastAsia="仿宋_GB2312"/>
          <w:b/>
          <w:color w:val="auto"/>
          <w:sz w:val="32"/>
          <w:szCs w:val="32"/>
          <w:highlight w:val="none"/>
          <w:lang w:val="en-US" w:eastAsia="zh-CN"/>
        </w:rPr>
      </w:pPr>
      <w:r>
        <w:rPr>
          <w:rFonts w:hint="eastAsia" w:ascii="仿宋_GB2312" w:hAnsi="Times New Roman" w:eastAsia="仿宋_GB2312"/>
          <w:b/>
          <w:color w:val="auto"/>
          <w:sz w:val="32"/>
          <w:szCs w:val="32"/>
          <w:highlight w:val="none"/>
          <w:lang w:val="en-US" w:eastAsia="zh-CN"/>
        </w:rPr>
        <w:t>2</w:t>
      </w:r>
      <w:r>
        <w:rPr>
          <w:rFonts w:hint="eastAsia" w:ascii="仿宋_GB2312" w:hAnsi="Times New Roman" w:eastAsia="仿宋_GB2312"/>
          <w:b/>
          <w:color w:val="auto"/>
          <w:sz w:val="32"/>
          <w:szCs w:val="32"/>
          <w:highlight w:val="none"/>
        </w:rPr>
        <w:t>.审核</w:t>
      </w:r>
      <w:r>
        <w:rPr>
          <w:rFonts w:hint="eastAsia" w:ascii="仿宋_GB2312" w:hAnsi="Times New Roman" w:eastAsia="仿宋_GB2312"/>
          <w:b/>
          <w:color w:val="auto"/>
          <w:sz w:val="32"/>
          <w:szCs w:val="32"/>
          <w:highlight w:val="none"/>
          <w:lang w:val="en-US" w:eastAsia="zh-CN"/>
        </w:rPr>
        <w:t>审定</w:t>
      </w:r>
    </w:p>
    <w:p>
      <w:pPr>
        <w:keepNext w:val="0"/>
        <w:keepLines w:val="0"/>
        <w:pageBreakBefore w:val="0"/>
        <w:widowControl w:val="0"/>
        <w:kinsoku/>
        <w:wordWrap/>
        <w:overflowPunct/>
        <w:topLinePunct w:val="0"/>
        <w:autoSpaceDE/>
        <w:autoSpaceDN/>
        <w:bidi w:val="0"/>
        <w:spacing w:line="560" w:lineRule="exact"/>
        <w:ind w:firstLine="560"/>
        <w:textAlignment w:val="auto"/>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8月</w:t>
      </w:r>
      <w:r>
        <w:rPr>
          <w:rFonts w:hint="eastAsia" w:ascii="仿宋_GB2312" w:hAnsi="Times New Roman" w:eastAsia="仿宋_GB2312"/>
          <w:color w:val="auto"/>
          <w:sz w:val="32"/>
          <w:szCs w:val="32"/>
          <w:highlight w:val="none"/>
          <w:lang w:val="en-US" w:eastAsia="zh-CN"/>
        </w:rPr>
        <w:t>17</w:t>
      </w:r>
      <w:r>
        <w:rPr>
          <w:rFonts w:hint="eastAsia" w:ascii="仿宋_GB2312" w:hAnsi="Times New Roman" w:eastAsia="仿宋_GB2312"/>
          <w:color w:val="auto"/>
          <w:sz w:val="32"/>
          <w:szCs w:val="32"/>
          <w:highlight w:val="none"/>
        </w:rPr>
        <w:t>日——8月</w:t>
      </w:r>
      <w:r>
        <w:rPr>
          <w:rFonts w:hint="eastAsia" w:ascii="仿宋_GB2312" w:hAnsi="Times New Roman" w:eastAsia="仿宋_GB2312"/>
          <w:color w:val="auto"/>
          <w:sz w:val="32"/>
          <w:szCs w:val="32"/>
          <w:highlight w:val="none"/>
          <w:lang w:val="en-US" w:eastAsia="zh-CN"/>
        </w:rPr>
        <w:t>19</w:t>
      </w:r>
      <w:r>
        <w:rPr>
          <w:rFonts w:hint="eastAsia" w:ascii="仿宋_GB2312" w:hAnsi="Times New Roman" w:eastAsia="仿宋_GB2312"/>
          <w:color w:val="auto"/>
          <w:sz w:val="32"/>
          <w:szCs w:val="32"/>
          <w:highlight w:val="none"/>
        </w:rPr>
        <w:t>日</w:t>
      </w:r>
      <w:r>
        <w:rPr>
          <w:rFonts w:hint="eastAsia" w:ascii="仿宋_GB2312" w:hAnsi="Times New Roman" w:eastAsia="仿宋_GB2312"/>
          <w:color w:val="auto"/>
          <w:sz w:val="32"/>
          <w:szCs w:val="32"/>
          <w:highlight w:val="none"/>
          <w:lang w:eastAsia="zh-CN"/>
        </w:rPr>
        <w:t>，</w:t>
      </w:r>
      <w:r>
        <w:rPr>
          <w:rFonts w:hint="eastAsia" w:ascii="仿宋_GB2312" w:hAnsi="Times New Roman" w:eastAsia="仿宋_GB2312"/>
          <w:color w:val="auto"/>
          <w:sz w:val="32"/>
          <w:szCs w:val="32"/>
          <w:highlight w:val="none"/>
        </w:rPr>
        <w:t>课程标准制定小组组织专家</w:t>
      </w:r>
      <w:r>
        <w:rPr>
          <w:rFonts w:hint="eastAsia" w:ascii="仿宋_GB2312" w:hAnsi="Times New Roman" w:eastAsia="仿宋_GB2312"/>
          <w:color w:val="auto"/>
          <w:sz w:val="32"/>
          <w:szCs w:val="32"/>
          <w:highlight w:val="none"/>
          <w:lang w:val="en-US" w:eastAsia="zh-CN"/>
        </w:rPr>
        <w:t>研讨</w:t>
      </w:r>
      <w:r>
        <w:rPr>
          <w:rFonts w:hint="eastAsia" w:ascii="仿宋_GB2312" w:hAnsi="Times New Roman" w:eastAsia="仿宋_GB2312"/>
          <w:color w:val="auto"/>
          <w:sz w:val="32"/>
          <w:szCs w:val="32"/>
          <w:highlight w:val="none"/>
        </w:rPr>
        <w:t>，</w:t>
      </w:r>
      <w:r>
        <w:rPr>
          <w:rFonts w:hint="eastAsia" w:ascii="仿宋_GB2312" w:hAnsi="Times New Roman" w:eastAsia="仿宋_GB2312"/>
          <w:color w:val="auto"/>
          <w:sz w:val="32"/>
          <w:szCs w:val="32"/>
          <w:highlight w:val="none"/>
          <w:lang w:val="en-US" w:eastAsia="zh-CN"/>
        </w:rPr>
        <w:t>根据专家意见完成修改稿。</w:t>
      </w:r>
      <w:r>
        <w:rPr>
          <w:rFonts w:hint="eastAsia" w:ascii="仿宋_GB2312" w:hAnsi="Times New Roman" w:eastAsia="仿宋_GB2312"/>
          <w:color w:val="auto"/>
          <w:sz w:val="32"/>
          <w:szCs w:val="32"/>
          <w:highlight w:val="none"/>
        </w:rPr>
        <w:t>学院课程标准制定工作领导小组</w:t>
      </w:r>
      <w:r>
        <w:rPr>
          <w:rFonts w:hint="eastAsia" w:ascii="仿宋_GB2312" w:hAnsi="Times New Roman" w:eastAsia="仿宋_GB2312"/>
          <w:color w:val="auto"/>
          <w:sz w:val="32"/>
          <w:szCs w:val="32"/>
          <w:highlight w:val="none"/>
          <w:lang w:val="en-US" w:eastAsia="zh-CN"/>
        </w:rPr>
        <w:t>会同对</w:t>
      </w:r>
      <w:r>
        <w:rPr>
          <w:rFonts w:hint="eastAsia" w:ascii="仿宋_GB2312" w:hAnsi="Times New Roman" w:eastAsia="仿宋_GB2312"/>
          <w:color w:val="auto"/>
          <w:sz w:val="32"/>
          <w:szCs w:val="32"/>
          <w:highlight w:val="none"/>
        </w:rPr>
        <w:t>课程标准</w:t>
      </w:r>
      <w:r>
        <w:rPr>
          <w:rFonts w:hint="eastAsia" w:ascii="仿宋_GB2312" w:hAnsi="Times New Roman" w:eastAsia="仿宋_GB2312"/>
          <w:color w:val="auto"/>
          <w:sz w:val="32"/>
          <w:szCs w:val="32"/>
          <w:highlight w:val="none"/>
          <w:lang w:val="en-US" w:eastAsia="zh-CN"/>
        </w:rPr>
        <w:t>修改稿</w:t>
      </w:r>
      <w:r>
        <w:rPr>
          <w:rFonts w:hint="eastAsia" w:ascii="仿宋_GB2312" w:hAnsi="Times New Roman" w:eastAsia="仿宋_GB2312"/>
          <w:color w:val="auto"/>
          <w:sz w:val="32"/>
          <w:szCs w:val="32"/>
          <w:highlight w:val="none"/>
        </w:rPr>
        <w:t>进行逐课验收</w:t>
      </w:r>
      <w:r>
        <w:rPr>
          <w:rFonts w:hint="eastAsia" w:ascii="仿宋_GB2312" w:hAnsi="Times New Roman" w:eastAsia="仿宋_GB2312"/>
          <w:color w:val="auto"/>
          <w:sz w:val="32"/>
          <w:szCs w:val="32"/>
          <w:highlight w:val="none"/>
          <w:lang w:eastAsia="zh-CN"/>
        </w:rPr>
        <w:t>，</w:t>
      </w:r>
      <w:r>
        <w:rPr>
          <w:rFonts w:hint="eastAsia" w:ascii="仿宋_GB2312" w:hAnsi="Times New Roman" w:eastAsia="仿宋_GB2312"/>
          <w:color w:val="auto"/>
          <w:sz w:val="32"/>
          <w:szCs w:val="32"/>
          <w:highlight w:val="none"/>
        </w:rPr>
        <w:t>提交各专业类教学指导分委员会</w:t>
      </w:r>
      <w:r>
        <w:rPr>
          <w:rFonts w:hint="eastAsia" w:ascii="仿宋_GB2312" w:hAnsi="Times New Roman" w:eastAsia="仿宋_GB2312"/>
          <w:color w:val="auto"/>
          <w:sz w:val="32"/>
          <w:szCs w:val="32"/>
          <w:highlight w:val="none"/>
          <w:lang w:eastAsia="zh-CN"/>
        </w:rPr>
        <w:t>（</w:t>
      </w:r>
      <w:r>
        <w:rPr>
          <w:rFonts w:hint="eastAsia" w:ascii="仿宋_GB2312" w:hAnsi="Times New Roman" w:eastAsia="仿宋_GB2312"/>
          <w:color w:val="auto"/>
          <w:sz w:val="32"/>
          <w:szCs w:val="32"/>
          <w:highlight w:val="none"/>
          <w:lang w:val="en-US" w:eastAsia="zh-CN"/>
        </w:rPr>
        <w:t>学院学术委员会、会同督导专家</w:t>
      </w:r>
      <w:r>
        <w:rPr>
          <w:rFonts w:hint="eastAsia" w:ascii="仿宋_GB2312" w:hAnsi="Times New Roman" w:eastAsia="仿宋_GB2312"/>
          <w:color w:val="auto"/>
          <w:sz w:val="32"/>
          <w:szCs w:val="32"/>
          <w:highlight w:val="none"/>
          <w:lang w:eastAsia="zh-CN"/>
        </w:rPr>
        <w:t>）</w:t>
      </w:r>
      <w:r>
        <w:rPr>
          <w:rFonts w:hint="eastAsia" w:ascii="仿宋_GB2312" w:hAnsi="Times New Roman" w:eastAsia="仿宋_GB2312"/>
          <w:color w:val="auto"/>
          <w:sz w:val="32"/>
          <w:szCs w:val="32"/>
          <w:highlight w:val="none"/>
        </w:rPr>
        <w:t>审</w:t>
      </w:r>
      <w:r>
        <w:rPr>
          <w:rFonts w:hint="eastAsia" w:ascii="仿宋_GB2312" w:hAnsi="Times New Roman" w:eastAsia="仿宋_GB2312"/>
          <w:color w:val="auto"/>
          <w:sz w:val="32"/>
          <w:szCs w:val="32"/>
          <w:highlight w:val="none"/>
          <w:lang w:val="en-US" w:eastAsia="zh-CN"/>
        </w:rPr>
        <w:t>定</w:t>
      </w:r>
      <w:r>
        <w:rPr>
          <w:rFonts w:hint="eastAsia" w:ascii="仿宋_GB2312" w:hAnsi="Times New Roman" w:eastAsia="仿宋_GB2312"/>
          <w:color w:val="auto"/>
          <w:sz w:val="32"/>
          <w:szCs w:val="32"/>
          <w:highlight w:val="none"/>
        </w:rPr>
        <w:t>后执行。</w:t>
      </w:r>
    </w:p>
    <w:p>
      <w:pPr>
        <w:keepNext w:val="0"/>
        <w:keepLines w:val="0"/>
        <w:pageBreakBefore w:val="0"/>
        <w:widowControl w:val="0"/>
        <w:kinsoku/>
        <w:wordWrap/>
        <w:overflowPunct/>
        <w:topLinePunct w:val="0"/>
        <w:autoSpaceDE/>
        <w:autoSpaceDN/>
        <w:bidi w:val="0"/>
        <w:spacing w:line="560" w:lineRule="exact"/>
        <w:ind w:firstLine="562"/>
        <w:textAlignment w:val="auto"/>
        <w:rPr>
          <w:rFonts w:hint="eastAsia" w:ascii="仿宋_GB2312" w:hAnsi="Times New Roman" w:eastAsia="仿宋_GB2312"/>
          <w:b/>
          <w:color w:val="auto"/>
          <w:sz w:val="32"/>
          <w:szCs w:val="32"/>
          <w:highlight w:val="none"/>
        </w:rPr>
      </w:pPr>
      <w:r>
        <w:rPr>
          <w:rFonts w:hint="eastAsia" w:ascii="仿宋_GB2312" w:hAnsi="Times New Roman" w:eastAsia="仿宋_GB2312"/>
          <w:b/>
          <w:color w:val="auto"/>
          <w:sz w:val="32"/>
          <w:szCs w:val="32"/>
          <w:highlight w:val="none"/>
          <w:lang w:val="en-US" w:eastAsia="zh-CN"/>
        </w:rPr>
        <w:t>3</w:t>
      </w:r>
      <w:r>
        <w:rPr>
          <w:rFonts w:hint="eastAsia" w:ascii="仿宋_GB2312" w:hAnsi="Times New Roman" w:eastAsia="仿宋_GB2312"/>
          <w:b/>
          <w:color w:val="auto"/>
          <w:sz w:val="32"/>
          <w:szCs w:val="32"/>
          <w:highlight w:val="none"/>
        </w:rPr>
        <w:t>.</w:t>
      </w:r>
      <w:r>
        <w:rPr>
          <w:rFonts w:hint="eastAsia" w:ascii="仿宋_GB2312" w:hAnsi="Times New Roman" w:eastAsia="仿宋_GB2312"/>
          <w:b/>
          <w:color w:val="auto"/>
          <w:sz w:val="32"/>
          <w:szCs w:val="32"/>
          <w:highlight w:val="none"/>
          <w:lang w:val="en-US" w:eastAsia="zh-CN"/>
        </w:rPr>
        <w:t>材料</w:t>
      </w:r>
      <w:r>
        <w:rPr>
          <w:rFonts w:hint="eastAsia" w:ascii="仿宋_GB2312" w:hAnsi="Times New Roman" w:eastAsia="仿宋_GB2312"/>
          <w:b/>
          <w:color w:val="auto"/>
          <w:sz w:val="32"/>
          <w:szCs w:val="32"/>
          <w:highlight w:val="none"/>
        </w:rPr>
        <w:t>提交</w:t>
      </w:r>
    </w:p>
    <w:p>
      <w:pPr>
        <w:keepNext w:val="0"/>
        <w:keepLines w:val="0"/>
        <w:pageBreakBefore w:val="0"/>
        <w:widowControl w:val="0"/>
        <w:kinsoku/>
        <w:wordWrap/>
        <w:overflowPunct/>
        <w:topLinePunct w:val="0"/>
        <w:autoSpaceDE/>
        <w:autoSpaceDN/>
        <w:bidi w:val="0"/>
        <w:spacing w:line="560" w:lineRule="exact"/>
        <w:ind w:firstLine="560"/>
        <w:textAlignment w:val="auto"/>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lang w:val="en-US" w:eastAsia="zh-CN"/>
        </w:rPr>
        <w:t>8月20日前</w:t>
      </w:r>
      <w:r>
        <w:rPr>
          <w:rFonts w:hint="eastAsia" w:ascii="仿宋_GB2312" w:hAnsi="Times New Roman" w:eastAsia="仿宋_GB2312"/>
          <w:color w:val="auto"/>
          <w:sz w:val="32"/>
          <w:szCs w:val="32"/>
          <w:highlight w:val="none"/>
        </w:rPr>
        <w:t>将完成的课程标准</w:t>
      </w:r>
      <w:r>
        <w:rPr>
          <w:rFonts w:hint="eastAsia" w:ascii="仿宋_GB2312" w:hAnsi="宋体" w:eastAsia="仿宋_GB2312" w:cs="宋体"/>
          <w:color w:val="auto"/>
          <w:sz w:val="32"/>
          <w:szCs w:val="32"/>
          <w:highlight w:val="none"/>
        </w:rPr>
        <w:fldChar w:fldCharType="begin"/>
      </w:r>
      <w:r>
        <w:rPr>
          <w:rFonts w:hint="eastAsia" w:ascii="仿宋_GB2312" w:hAnsi="宋体" w:eastAsia="仿宋_GB2312" w:cs="宋体"/>
          <w:color w:val="auto"/>
          <w:sz w:val="32"/>
          <w:szCs w:val="32"/>
          <w:highlight w:val="none"/>
        </w:rPr>
        <w:instrText xml:space="preserve"> HYPERLINK "mailto:电子版发教务处教务科邮箱：jwk1041@126.com" </w:instrText>
      </w:r>
      <w:r>
        <w:rPr>
          <w:rFonts w:hint="eastAsia" w:ascii="仿宋_GB2312" w:hAnsi="宋体" w:eastAsia="仿宋_GB2312" w:cs="宋体"/>
          <w:color w:val="auto"/>
          <w:sz w:val="32"/>
          <w:szCs w:val="32"/>
          <w:highlight w:val="none"/>
        </w:rPr>
        <w:fldChar w:fldCharType="separate"/>
      </w:r>
      <w:r>
        <w:rPr>
          <w:rFonts w:hint="eastAsia" w:ascii="仿宋_GB2312" w:hAnsi="宋体" w:eastAsia="仿宋_GB2312" w:cs="宋体"/>
          <w:color w:val="auto"/>
          <w:sz w:val="32"/>
          <w:szCs w:val="32"/>
          <w:highlight w:val="none"/>
        </w:rPr>
        <w:t>电子版</w:t>
      </w:r>
      <w:r>
        <w:rPr>
          <w:rFonts w:hint="eastAsia" w:ascii="仿宋_GB2312" w:hAnsi="宋体" w:eastAsia="仿宋_GB2312" w:cs="宋体"/>
          <w:color w:val="auto"/>
          <w:sz w:val="32"/>
          <w:szCs w:val="32"/>
          <w:highlight w:val="none"/>
          <w:lang w:val="en-US" w:eastAsia="zh-CN"/>
        </w:rPr>
        <w:t>以“2018版**课程代码+课程名称”(</w:t>
      </w:r>
      <w:r>
        <w:rPr>
          <w:rFonts w:hint="eastAsia" w:ascii="仿宋_GB2312" w:hAnsi="宋体" w:eastAsia="仿宋_GB2312" w:cs="宋体"/>
          <w:b w:val="0"/>
          <w:bCs/>
          <w:color w:val="auto"/>
          <w:sz w:val="32"/>
          <w:szCs w:val="32"/>
          <w:highlight w:val="none"/>
          <w:lang w:val="en-US" w:eastAsia="zh-CN"/>
        </w:rPr>
        <w:t>2018版</w:t>
      </w:r>
      <w:r>
        <w:rPr>
          <w:rFonts w:hint="eastAsia" w:ascii="仿宋_GB2312" w:hAnsi="宋体" w:eastAsia="仿宋_GB2312" w:cs="宋体"/>
          <w:color w:val="auto"/>
          <w:sz w:val="32"/>
          <w:szCs w:val="32"/>
          <w:highlight w:val="none"/>
          <w:lang w:val="en-US" w:eastAsia="zh-CN"/>
        </w:rPr>
        <w:t>课程清单见附件3)、“2023版**课程代码+课程名称”两版材料分别命名发送至</w:t>
      </w:r>
      <w:r>
        <w:rPr>
          <w:rFonts w:hint="eastAsia" w:ascii="仿宋_GB2312" w:hAnsi="宋体" w:eastAsia="仿宋_GB2312" w:cs="宋体"/>
          <w:color w:val="auto"/>
          <w:sz w:val="32"/>
          <w:szCs w:val="32"/>
          <w:highlight w:val="none"/>
        </w:rPr>
        <w:t>教务科邮箱：jwk1041@126.com</w:t>
      </w:r>
      <w:r>
        <w:rPr>
          <w:rFonts w:hint="eastAsia" w:ascii="仿宋_GB2312" w:hAnsi="宋体" w:eastAsia="仿宋_GB2312" w:cs="宋体"/>
          <w:color w:val="auto"/>
          <w:sz w:val="32"/>
          <w:szCs w:val="32"/>
          <w:highlight w:val="none"/>
        </w:rPr>
        <w:fldChar w:fldCharType="end"/>
      </w:r>
      <w:r>
        <w:rPr>
          <w:rFonts w:hint="eastAsia" w:ascii="仿宋_GB2312" w:hAnsi="宋体" w:eastAsia="仿宋_GB2312" w:cs="宋体"/>
          <w:color w:val="auto"/>
          <w:sz w:val="32"/>
          <w:szCs w:val="32"/>
          <w:highlight w:val="none"/>
        </w:rPr>
        <w:t>。</w:t>
      </w:r>
      <w:r>
        <w:rPr>
          <w:rFonts w:hint="eastAsia" w:ascii="仿宋_GB2312" w:hAnsi="宋体" w:eastAsia="仿宋_GB2312" w:cs="宋体"/>
          <w:color w:val="auto"/>
          <w:sz w:val="32"/>
          <w:szCs w:val="32"/>
          <w:highlight w:val="none"/>
          <w:lang w:val="en-US" w:eastAsia="zh-CN"/>
        </w:rPr>
        <w:t>2023版课程标准</w:t>
      </w:r>
      <w:r>
        <w:rPr>
          <w:rFonts w:hint="eastAsia" w:ascii="仿宋_GB2312" w:hAnsi="Times New Roman" w:eastAsia="仿宋_GB2312"/>
          <w:color w:val="auto"/>
          <w:sz w:val="32"/>
          <w:szCs w:val="32"/>
          <w:highlight w:val="none"/>
          <w:lang w:val="en-US" w:eastAsia="zh-CN"/>
        </w:rPr>
        <w:t>纸质版按学院为单位</w:t>
      </w:r>
      <w:r>
        <w:rPr>
          <w:rFonts w:hint="eastAsia" w:ascii="仿宋_GB2312" w:hAnsi="Times New Roman" w:eastAsia="仿宋_GB2312"/>
          <w:color w:val="auto"/>
          <w:sz w:val="32"/>
          <w:szCs w:val="32"/>
          <w:highlight w:val="none"/>
        </w:rPr>
        <w:t>编印成册交至教务科备案。</w:t>
      </w:r>
    </w:p>
    <w:p>
      <w:pPr>
        <w:keepNext w:val="0"/>
        <w:keepLines w:val="0"/>
        <w:pageBreakBefore w:val="0"/>
        <w:widowControl w:val="0"/>
        <w:kinsoku/>
        <w:wordWrap/>
        <w:overflowPunct/>
        <w:topLinePunct w:val="0"/>
        <w:autoSpaceDE/>
        <w:autoSpaceDN/>
        <w:bidi w:val="0"/>
        <w:spacing w:line="560" w:lineRule="exact"/>
        <w:ind w:firstLine="560"/>
        <w:textAlignment w:val="auto"/>
        <w:rPr>
          <w:rFonts w:hint="eastAsia" w:ascii="仿宋_GB2312" w:hAnsi="黑体" w:eastAsia="仿宋_GB2312"/>
          <w:b/>
          <w:bCs/>
          <w:color w:val="auto"/>
          <w:sz w:val="32"/>
          <w:szCs w:val="32"/>
          <w:highlight w:val="none"/>
        </w:rPr>
      </w:pPr>
      <w:r>
        <w:rPr>
          <w:rFonts w:hint="eastAsia" w:ascii="仿宋_GB2312" w:hAnsi="黑体" w:eastAsia="仿宋_GB2312" w:cs="宋体"/>
          <w:b/>
          <w:bCs/>
          <w:color w:val="auto"/>
          <w:sz w:val="32"/>
          <w:szCs w:val="32"/>
          <w:highlight w:val="none"/>
          <w:lang w:val="en-US" w:eastAsia="zh-CN"/>
        </w:rPr>
        <w:t>五</w:t>
      </w:r>
      <w:r>
        <w:rPr>
          <w:rFonts w:hint="eastAsia" w:ascii="仿宋_GB2312" w:hAnsi="黑体" w:eastAsia="仿宋_GB2312" w:cs="宋体"/>
          <w:b/>
          <w:bCs/>
          <w:color w:val="auto"/>
          <w:sz w:val="32"/>
          <w:szCs w:val="32"/>
          <w:highlight w:val="none"/>
        </w:rPr>
        <w:t>、其他事项</w:t>
      </w:r>
    </w:p>
    <w:p>
      <w:pPr>
        <w:keepNext w:val="0"/>
        <w:keepLines w:val="0"/>
        <w:pageBreakBefore w:val="0"/>
        <w:widowControl w:val="0"/>
        <w:kinsoku/>
        <w:wordWrap/>
        <w:overflowPunct/>
        <w:topLinePunct w:val="0"/>
        <w:autoSpaceDE/>
        <w:autoSpaceDN/>
        <w:bidi w:val="0"/>
        <w:spacing w:line="560" w:lineRule="exact"/>
        <w:ind w:firstLine="560"/>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1.课程代码编码规则：长度</w:t>
      </w:r>
      <w:r>
        <w:rPr>
          <w:rFonts w:hint="eastAsia" w:ascii="仿宋_GB2312" w:hAnsi="宋体" w:eastAsia="仿宋_GB2312" w:cs="宋体"/>
          <w:color w:val="auto"/>
          <w:sz w:val="32"/>
          <w:szCs w:val="32"/>
          <w:highlight w:val="none"/>
          <w:lang w:val="en-US" w:eastAsia="zh-CN"/>
        </w:rPr>
        <w:t>共</w:t>
      </w:r>
      <w:r>
        <w:rPr>
          <w:rFonts w:hint="eastAsia" w:ascii="仿宋_GB2312" w:hAnsi="宋体" w:eastAsia="仿宋_GB2312" w:cs="宋体"/>
          <w:color w:val="auto"/>
          <w:sz w:val="32"/>
          <w:szCs w:val="32"/>
          <w:highlight w:val="none"/>
        </w:rPr>
        <w:t>8位，第1、2位是课程开课学院代码，第3、4、5是开课</w:t>
      </w:r>
      <w:r>
        <w:rPr>
          <w:rFonts w:hint="eastAsia" w:ascii="仿宋_GB2312" w:hAnsi="宋体" w:eastAsia="仿宋_GB2312" w:cs="宋体"/>
          <w:color w:val="auto"/>
          <w:sz w:val="32"/>
          <w:szCs w:val="32"/>
          <w:highlight w:val="none"/>
          <w:lang w:val="en-US" w:eastAsia="zh-CN"/>
        </w:rPr>
        <w:t>教研室</w:t>
      </w:r>
      <w:r>
        <w:rPr>
          <w:rFonts w:hint="eastAsia" w:ascii="仿宋_GB2312" w:hAnsi="宋体" w:eastAsia="仿宋_GB2312" w:cs="宋体"/>
          <w:color w:val="auto"/>
          <w:sz w:val="32"/>
          <w:szCs w:val="32"/>
          <w:highlight w:val="none"/>
        </w:rPr>
        <w:t>代码，第6、7、8位是课程流水号（其中第6位</w:t>
      </w:r>
      <w:r>
        <w:rPr>
          <w:rFonts w:hint="eastAsia" w:ascii="仿宋_GB2312" w:hAnsi="宋体" w:eastAsia="仿宋_GB2312" w:cs="宋体"/>
          <w:color w:val="auto"/>
          <w:sz w:val="32"/>
          <w:szCs w:val="32"/>
          <w:highlight w:val="none"/>
          <w:lang w:val="en-US" w:eastAsia="zh-CN"/>
        </w:rPr>
        <w:t>C</w:t>
      </w:r>
      <w:r>
        <w:rPr>
          <w:rFonts w:hint="eastAsia" w:ascii="仿宋_GB2312" w:hAnsi="宋体" w:eastAsia="仿宋_GB2312" w:cs="宋体"/>
          <w:color w:val="auto"/>
          <w:sz w:val="32"/>
          <w:szCs w:val="32"/>
          <w:highlight w:val="none"/>
        </w:rPr>
        <w:t>表示考试课，</w:t>
      </w:r>
      <w:r>
        <w:rPr>
          <w:rFonts w:hint="eastAsia" w:ascii="仿宋_GB2312" w:hAnsi="宋体" w:eastAsia="仿宋_GB2312" w:cs="宋体"/>
          <w:color w:val="auto"/>
          <w:sz w:val="32"/>
          <w:szCs w:val="32"/>
          <w:highlight w:val="none"/>
          <w:lang w:val="en-US" w:eastAsia="zh-CN"/>
        </w:rPr>
        <w:t>D</w:t>
      </w:r>
      <w:r>
        <w:rPr>
          <w:rFonts w:hint="eastAsia" w:ascii="仿宋_GB2312" w:hAnsi="宋体" w:eastAsia="仿宋_GB2312" w:cs="宋体"/>
          <w:color w:val="auto"/>
          <w:sz w:val="32"/>
          <w:szCs w:val="32"/>
          <w:highlight w:val="none"/>
        </w:rPr>
        <w:t>表示考查课）。</w:t>
      </w:r>
    </w:p>
    <w:p>
      <w:pPr>
        <w:keepNext w:val="0"/>
        <w:keepLines w:val="0"/>
        <w:pageBreakBefore w:val="0"/>
        <w:widowControl w:val="0"/>
        <w:kinsoku/>
        <w:wordWrap/>
        <w:overflowPunct/>
        <w:topLinePunct w:val="0"/>
        <w:autoSpaceDE/>
        <w:autoSpaceDN/>
        <w:bidi w:val="0"/>
        <w:spacing w:line="560" w:lineRule="exact"/>
        <w:ind w:firstLine="560"/>
        <w:textAlignment w:val="auto"/>
        <w:rPr>
          <w:rFonts w:hint="eastAsia" w:ascii="仿宋_GB2312" w:hAnsi="等线" w:eastAsia="仿宋_GB2312"/>
          <w:color w:val="auto"/>
          <w:sz w:val="32"/>
          <w:szCs w:val="32"/>
          <w:highlight w:val="none"/>
        </w:rPr>
      </w:pPr>
      <w:r>
        <w:rPr>
          <w:rFonts w:hint="eastAsia" w:ascii="仿宋_GB2312" w:hAnsi="宋体" w:eastAsia="仿宋_GB2312" w:cs="宋体"/>
          <w:color w:val="auto"/>
          <w:sz w:val="32"/>
          <w:szCs w:val="32"/>
          <w:highlight w:val="none"/>
        </w:rPr>
        <w:t>2.</w:t>
      </w:r>
      <w:r>
        <w:rPr>
          <w:rFonts w:hint="eastAsia" w:ascii="仿宋_GB2312" w:hAnsi="宋体" w:eastAsia="仿宋_GB2312" w:cs="宋体"/>
          <w:color w:val="auto"/>
          <w:sz w:val="32"/>
          <w:szCs w:val="32"/>
          <w:highlight w:val="none"/>
          <w:lang w:val="en-US" w:eastAsia="zh-CN"/>
        </w:rPr>
        <w:t>课程标准</w:t>
      </w:r>
      <w:r>
        <w:rPr>
          <w:rFonts w:hint="eastAsia" w:ascii="仿宋_GB2312" w:hAnsi="宋体" w:eastAsia="仿宋_GB2312" w:cs="宋体"/>
          <w:color w:val="auto"/>
          <w:sz w:val="32"/>
          <w:szCs w:val="32"/>
          <w:highlight w:val="none"/>
        </w:rPr>
        <w:t>中的课程</w:t>
      </w:r>
      <w:r>
        <w:rPr>
          <w:rFonts w:hint="eastAsia" w:ascii="仿宋_GB2312" w:hAnsi="宋体" w:eastAsia="仿宋_GB2312" w:cs="宋体"/>
          <w:color w:val="auto"/>
          <w:sz w:val="32"/>
          <w:szCs w:val="32"/>
          <w:highlight w:val="none"/>
          <w:lang w:val="en-US" w:eastAsia="zh-CN"/>
        </w:rPr>
        <w:t>代码、课程</w:t>
      </w:r>
      <w:r>
        <w:rPr>
          <w:rFonts w:hint="eastAsia" w:ascii="仿宋_GB2312" w:hAnsi="宋体" w:eastAsia="仿宋_GB2312" w:cs="宋体"/>
          <w:color w:val="auto"/>
          <w:sz w:val="32"/>
          <w:szCs w:val="32"/>
          <w:highlight w:val="none"/>
        </w:rPr>
        <w:t>名称、学时、</w:t>
      </w:r>
      <w:r>
        <w:rPr>
          <w:rFonts w:hint="eastAsia" w:ascii="仿宋_GB2312" w:hAnsi="宋体" w:eastAsia="仿宋_GB2312" w:cs="宋体"/>
          <w:color w:val="auto"/>
          <w:sz w:val="32"/>
          <w:szCs w:val="32"/>
          <w:highlight w:val="none"/>
          <w:lang w:val="en-US" w:eastAsia="zh-CN"/>
        </w:rPr>
        <w:t>课程性质</w:t>
      </w:r>
      <w:r>
        <w:rPr>
          <w:rFonts w:hint="eastAsia" w:ascii="仿宋_GB2312" w:hAnsi="宋体" w:eastAsia="仿宋_GB2312" w:cs="宋体"/>
          <w:color w:val="auto"/>
          <w:sz w:val="32"/>
          <w:szCs w:val="32"/>
          <w:highlight w:val="none"/>
        </w:rPr>
        <w:t>等课程基本信息必须与专业人才培养方案相一致</w:t>
      </w:r>
      <w:r>
        <w:rPr>
          <w:rFonts w:hint="eastAsia" w:ascii="仿宋_GB2312" w:hAnsi="宋体" w:eastAsia="仿宋_GB2312" w:cs="宋体"/>
          <w:color w:val="auto"/>
          <w:sz w:val="32"/>
          <w:szCs w:val="32"/>
          <w:highlight w:val="none"/>
          <w:lang w:eastAsia="zh-CN"/>
        </w:rPr>
        <w:t>。</w:t>
      </w:r>
      <w:r>
        <w:rPr>
          <w:rFonts w:hint="eastAsia" w:ascii="仿宋_GB2312" w:hAnsi="宋体" w:eastAsia="仿宋_GB2312" w:cs="宋体"/>
          <w:color w:val="auto"/>
          <w:sz w:val="32"/>
          <w:szCs w:val="32"/>
          <w:highlight w:val="none"/>
        </w:rPr>
        <w:t>课程代码不同，</w:t>
      </w:r>
      <w:r>
        <w:rPr>
          <w:rFonts w:hint="eastAsia" w:ascii="仿宋_GB2312" w:hAnsi="宋体" w:eastAsia="仿宋_GB2312" w:cs="宋体"/>
          <w:color w:val="auto"/>
          <w:sz w:val="32"/>
          <w:szCs w:val="32"/>
          <w:highlight w:val="none"/>
          <w:lang w:val="en-US" w:eastAsia="zh-CN"/>
        </w:rPr>
        <w:t>应</w:t>
      </w:r>
      <w:r>
        <w:rPr>
          <w:rFonts w:hint="eastAsia" w:ascii="仿宋_GB2312" w:hAnsi="宋体" w:eastAsia="仿宋_GB2312" w:cs="宋体"/>
          <w:color w:val="auto"/>
          <w:sz w:val="32"/>
          <w:szCs w:val="32"/>
          <w:highlight w:val="none"/>
        </w:rPr>
        <w:t>分别制定课程标准；课程代码相同，但分属不同专业</w:t>
      </w:r>
      <w:r>
        <w:rPr>
          <w:rFonts w:hint="eastAsia" w:ascii="仿宋_GB2312" w:hAnsi="宋体" w:eastAsia="仿宋_GB2312" w:cs="宋体"/>
          <w:color w:val="auto"/>
          <w:sz w:val="32"/>
          <w:szCs w:val="32"/>
          <w:highlight w:val="none"/>
          <w:lang w:eastAsia="zh-CN"/>
        </w:rPr>
        <w:t>、</w:t>
      </w:r>
      <w:r>
        <w:rPr>
          <w:rFonts w:hint="eastAsia" w:ascii="仿宋_GB2312" w:hAnsi="宋体" w:eastAsia="仿宋_GB2312" w:cs="宋体"/>
          <w:color w:val="auto"/>
          <w:sz w:val="32"/>
          <w:szCs w:val="32"/>
          <w:highlight w:val="none"/>
        </w:rPr>
        <w:t>教学要求不同的课程，应根据专业要求，分别制定课程标准。</w:t>
      </w:r>
    </w:p>
    <w:p>
      <w:pPr>
        <w:keepNext w:val="0"/>
        <w:keepLines w:val="0"/>
        <w:pageBreakBefore w:val="0"/>
        <w:widowControl w:val="0"/>
        <w:kinsoku/>
        <w:wordWrap/>
        <w:overflowPunct/>
        <w:topLinePunct w:val="0"/>
        <w:autoSpaceDE/>
        <w:autoSpaceDN/>
        <w:bidi w:val="0"/>
        <w:spacing w:line="560" w:lineRule="exact"/>
        <w:ind w:firstLine="560"/>
        <w:textAlignment w:val="auto"/>
        <w:rPr>
          <w:rFonts w:hint="eastAsia" w:ascii="仿宋_GB2312" w:hAnsi="等线" w:eastAsia="仿宋_GB2312"/>
          <w:color w:val="auto"/>
          <w:sz w:val="32"/>
          <w:szCs w:val="32"/>
          <w:highlight w:val="none"/>
        </w:rPr>
      </w:pPr>
      <w:r>
        <w:rPr>
          <w:rFonts w:hint="eastAsia" w:ascii="仿宋_GB2312" w:hAnsi="宋体" w:eastAsia="仿宋_GB2312" w:cs="宋体"/>
          <w:color w:val="auto"/>
          <w:sz w:val="32"/>
          <w:szCs w:val="32"/>
          <w:highlight w:val="none"/>
        </w:rPr>
        <w:t>3.由多位教师接力授课的课程，</w:t>
      </w:r>
      <w:r>
        <w:rPr>
          <w:rFonts w:hint="eastAsia" w:ascii="仿宋_GB2312" w:hAnsi="宋体" w:eastAsia="仿宋_GB2312" w:cs="宋体"/>
          <w:color w:val="auto"/>
          <w:sz w:val="32"/>
          <w:szCs w:val="32"/>
          <w:highlight w:val="none"/>
          <w:lang w:val="en-US" w:eastAsia="zh-CN"/>
        </w:rPr>
        <w:t>需</w:t>
      </w:r>
      <w:r>
        <w:rPr>
          <w:rFonts w:hint="eastAsia" w:ascii="仿宋_GB2312" w:hAnsi="宋体" w:eastAsia="仿宋_GB2312" w:cs="宋体"/>
          <w:color w:val="auto"/>
          <w:sz w:val="32"/>
          <w:szCs w:val="32"/>
          <w:highlight w:val="none"/>
        </w:rPr>
        <w:t>明确一位课程负责人，统筹课程标准制定工作。</w:t>
      </w:r>
    </w:p>
    <w:p>
      <w:pPr>
        <w:keepNext w:val="0"/>
        <w:keepLines w:val="0"/>
        <w:pageBreakBefore w:val="0"/>
        <w:widowControl w:val="0"/>
        <w:kinsoku/>
        <w:wordWrap/>
        <w:overflowPunct/>
        <w:topLinePunct w:val="0"/>
        <w:autoSpaceDE/>
        <w:autoSpaceDN/>
        <w:bidi w:val="0"/>
        <w:spacing w:line="560" w:lineRule="exact"/>
        <w:ind w:firstLine="560"/>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4</w:t>
      </w:r>
      <w:r>
        <w:rPr>
          <w:rFonts w:hint="eastAsia" w:ascii="仿宋_GB2312" w:hAnsi="等线" w:eastAsia="仿宋_GB2312" w:cs="宋体"/>
          <w:color w:val="auto"/>
          <w:sz w:val="32"/>
          <w:szCs w:val="32"/>
          <w:highlight w:val="none"/>
        </w:rPr>
        <w:t>.为便于统一印制，请采用课程标准模板（附件1）格式编写，内容可以</w:t>
      </w:r>
      <w:r>
        <w:rPr>
          <w:rFonts w:hint="eastAsia" w:ascii="仿宋_GB2312" w:hAnsi="宋体" w:eastAsia="仿宋_GB2312" w:cs="宋体"/>
          <w:color w:val="auto"/>
          <w:sz w:val="32"/>
          <w:szCs w:val="32"/>
          <w:highlight w:val="none"/>
        </w:rPr>
        <w:t>结合实际，体现特色。</w:t>
      </w:r>
    </w:p>
    <w:p>
      <w:pPr>
        <w:keepNext w:val="0"/>
        <w:keepLines w:val="0"/>
        <w:pageBreakBefore w:val="0"/>
        <w:widowControl w:val="0"/>
        <w:kinsoku/>
        <w:wordWrap/>
        <w:overflowPunct/>
        <w:topLinePunct w:val="0"/>
        <w:autoSpaceDE/>
        <w:autoSpaceDN/>
        <w:bidi w:val="0"/>
        <w:spacing w:line="560" w:lineRule="exact"/>
        <w:ind w:firstLine="560"/>
        <w:textAlignment w:val="auto"/>
        <w:rPr>
          <w:rFonts w:hint="eastAsia" w:ascii="仿宋_GB2312" w:hAnsi="宋体" w:eastAsia="仿宋_GB2312" w:cs="宋体"/>
          <w:color w:val="auto"/>
          <w:sz w:val="32"/>
          <w:szCs w:val="32"/>
          <w:highlight w:val="none"/>
          <w:lang w:val="en-US" w:eastAsia="zh-CN"/>
        </w:rPr>
      </w:pPr>
      <w:r>
        <w:rPr>
          <w:rFonts w:hint="eastAsia" w:ascii="仿宋_GB2312" w:hAnsi="宋体" w:eastAsia="仿宋_GB2312" w:cs="宋体"/>
          <w:color w:val="auto"/>
          <w:sz w:val="32"/>
          <w:szCs w:val="32"/>
          <w:highlight w:val="none"/>
          <w:lang w:val="en-US" w:eastAsia="zh-CN"/>
        </w:rPr>
        <w:t>5.课程标准中应指定教材及参考资料，相应课程有马工程重点教材的应统一选用马工程重点教材。</w:t>
      </w:r>
    </w:p>
    <w:p>
      <w:pPr>
        <w:keepNext w:val="0"/>
        <w:keepLines w:val="0"/>
        <w:pageBreakBefore w:val="0"/>
        <w:widowControl w:val="0"/>
        <w:kinsoku/>
        <w:wordWrap/>
        <w:overflowPunct/>
        <w:topLinePunct w:val="0"/>
        <w:autoSpaceDE/>
        <w:autoSpaceDN/>
        <w:bidi w:val="0"/>
        <w:spacing w:line="560" w:lineRule="exact"/>
        <w:ind w:firstLine="560"/>
        <w:textAlignment w:val="auto"/>
        <w:rPr>
          <w:rFonts w:hint="default" w:ascii="仿宋_GB2312" w:hAnsi="宋体" w:eastAsia="仿宋_GB2312" w:cs="宋体"/>
          <w:color w:val="auto"/>
          <w:sz w:val="32"/>
          <w:szCs w:val="32"/>
          <w:highlight w:val="yellow"/>
          <w:lang w:val="en-US" w:eastAsia="zh-CN"/>
        </w:rPr>
      </w:pPr>
      <w:r>
        <w:rPr>
          <w:rFonts w:hint="eastAsia" w:ascii="仿宋_GB2312" w:hAnsi="宋体" w:eastAsia="仿宋_GB2312" w:cs="宋体"/>
          <w:color w:val="auto"/>
          <w:sz w:val="32"/>
          <w:szCs w:val="32"/>
          <w:highlight w:val="yellow"/>
          <w:lang w:val="en-US" w:eastAsia="zh-CN"/>
        </w:rPr>
        <w:t>6.每门课程应设置不少于10%的学时通过课堂外教学完成，课程标准中应明确每次授课内容对应的教学形式与考核评价方式。</w:t>
      </w:r>
    </w:p>
    <w:p>
      <w:pPr>
        <w:keepNext w:val="0"/>
        <w:keepLines w:val="0"/>
        <w:pageBreakBefore w:val="0"/>
        <w:widowControl w:val="0"/>
        <w:kinsoku/>
        <w:wordWrap/>
        <w:overflowPunct/>
        <w:topLinePunct w:val="0"/>
        <w:autoSpaceDE/>
        <w:autoSpaceDN/>
        <w:bidi w:val="0"/>
        <w:spacing w:line="560" w:lineRule="exact"/>
        <w:ind w:firstLine="560"/>
        <w:textAlignment w:val="auto"/>
        <w:rPr>
          <w:rFonts w:hint="default" w:ascii="仿宋_GB2312" w:hAnsi="宋体" w:eastAsia="仿宋_GB2312" w:cs="宋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560"/>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附件：</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rPr>
        <w:t>1.安徽医科大学课程标准模板</w:t>
      </w:r>
    </w:p>
    <w:p>
      <w:pPr>
        <w:keepNext w:val="0"/>
        <w:keepLines w:val="0"/>
        <w:pageBreakBefore w:val="0"/>
        <w:widowControl w:val="0"/>
        <w:kinsoku/>
        <w:wordWrap/>
        <w:overflowPunct/>
        <w:topLinePunct w:val="0"/>
        <w:autoSpaceDE/>
        <w:autoSpaceDN/>
        <w:bidi w:val="0"/>
        <w:spacing w:line="560" w:lineRule="exact"/>
        <w:ind w:firstLine="560"/>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rPr>
        <w:t>2.20</w:t>
      </w:r>
      <w:r>
        <w:rPr>
          <w:rFonts w:hint="eastAsia" w:ascii="仿宋_GB2312" w:hAnsi="宋体" w:eastAsia="仿宋_GB2312" w:cs="宋体"/>
          <w:color w:val="auto"/>
          <w:sz w:val="32"/>
          <w:szCs w:val="32"/>
          <w:highlight w:val="none"/>
          <w:lang w:val="en-US" w:eastAsia="zh-CN"/>
        </w:rPr>
        <w:t>23</w:t>
      </w:r>
      <w:r>
        <w:rPr>
          <w:rFonts w:hint="eastAsia" w:ascii="仿宋_GB2312" w:hAnsi="宋体" w:eastAsia="仿宋_GB2312" w:cs="宋体"/>
          <w:color w:val="auto"/>
          <w:sz w:val="32"/>
          <w:szCs w:val="32"/>
          <w:highlight w:val="none"/>
        </w:rPr>
        <w:t>版人才培养方案课程信息库</w:t>
      </w:r>
    </w:p>
    <w:p>
      <w:pPr>
        <w:keepNext w:val="0"/>
        <w:keepLines w:val="0"/>
        <w:pageBreakBefore w:val="0"/>
        <w:widowControl w:val="0"/>
        <w:kinsoku/>
        <w:wordWrap/>
        <w:overflowPunct/>
        <w:topLinePunct w:val="0"/>
        <w:autoSpaceDE/>
        <w:autoSpaceDN/>
        <w:bidi w:val="0"/>
        <w:spacing w:line="560" w:lineRule="exact"/>
        <w:ind w:firstLine="1580" w:firstLineChars="500"/>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lang w:val="en-US" w:eastAsia="zh-CN"/>
        </w:rPr>
        <w:t>3</w:t>
      </w:r>
      <w:r>
        <w:rPr>
          <w:rFonts w:hint="eastAsia" w:ascii="仿宋_GB2312" w:hAnsi="宋体" w:eastAsia="仿宋_GB2312" w:cs="宋体"/>
          <w:color w:val="auto"/>
          <w:sz w:val="32"/>
          <w:szCs w:val="32"/>
          <w:highlight w:val="none"/>
        </w:rPr>
        <w:t>.20</w:t>
      </w:r>
      <w:r>
        <w:rPr>
          <w:rFonts w:hint="eastAsia" w:ascii="仿宋_GB2312" w:hAnsi="宋体" w:eastAsia="仿宋_GB2312" w:cs="宋体"/>
          <w:color w:val="auto"/>
          <w:sz w:val="32"/>
          <w:szCs w:val="32"/>
          <w:highlight w:val="none"/>
          <w:lang w:val="en-US" w:eastAsia="zh-CN"/>
        </w:rPr>
        <w:t>18</w:t>
      </w:r>
      <w:r>
        <w:rPr>
          <w:rFonts w:hint="eastAsia" w:ascii="仿宋_GB2312" w:hAnsi="宋体" w:eastAsia="仿宋_GB2312" w:cs="宋体"/>
          <w:color w:val="auto"/>
          <w:sz w:val="32"/>
          <w:szCs w:val="32"/>
          <w:highlight w:val="none"/>
        </w:rPr>
        <w:t>版人才培养方案课程信息库</w:t>
      </w:r>
    </w:p>
    <w:p>
      <w:pPr>
        <w:keepNext w:val="0"/>
        <w:keepLines w:val="0"/>
        <w:pageBreakBefore w:val="0"/>
        <w:widowControl w:val="0"/>
        <w:kinsoku/>
        <w:wordWrap/>
        <w:overflowPunct/>
        <w:topLinePunct w:val="0"/>
        <w:autoSpaceDE/>
        <w:autoSpaceDN/>
        <w:bidi w:val="0"/>
        <w:spacing w:line="560" w:lineRule="exact"/>
        <w:ind w:firstLine="560"/>
        <w:textAlignment w:val="auto"/>
        <w:rPr>
          <w:rFonts w:hint="eastAsia" w:ascii="仿宋_GB2312" w:hAnsi="宋体" w:eastAsia="仿宋_GB2312" w:cs="宋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560"/>
        <w:textAlignment w:val="auto"/>
        <w:rPr>
          <w:rFonts w:hint="eastAsia" w:ascii="仿宋_GB2312" w:hAnsi="宋体" w:eastAsia="仿宋_GB2312" w:cs="宋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626" w:firstLineChars="1464"/>
        <w:textAlignment w:val="auto"/>
        <w:rPr>
          <w:rFonts w:hint="eastAsia" w:ascii="仿宋_GB2312" w:hAnsi="宋体" w:eastAsia="仿宋_GB2312" w:cs="宋体"/>
          <w:color w:val="auto"/>
          <w:sz w:val="32"/>
          <w:szCs w:val="32"/>
          <w:highlight w:val="none"/>
          <w:lang w:val="en-US" w:eastAsia="zh-CN"/>
        </w:rPr>
      </w:pPr>
      <w:r>
        <w:rPr>
          <w:rFonts w:hint="eastAsia" w:ascii="仿宋_GB2312" w:hAnsi="宋体" w:eastAsia="仿宋_GB2312" w:cs="宋体"/>
          <w:color w:val="auto"/>
          <w:sz w:val="32"/>
          <w:szCs w:val="32"/>
          <w:highlight w:val="none"/>
          <w:lang w:val="en-US" w:eastAsia="zh-CN"/>
        </w:rPr>
        <w:t>安徽医科大学教务处</w:t>
      </w:r>
    </w:p>
    <w:p>
      <w:pPr>
        <w:keepNext w:val="0"/>
        <w:keepLines w:val="0"/>
        <w:pageBreakBefore w:val="0"/>
        <w:widowControl w:val="0"/>
        <w:kinsoku/>
        <w:wordWrap/>
        <w:overflowPunct/>
        <w:topLinePunct w:val="0"/>
        <w:autoSpaceDE/>
        <w:autoSpaceDN/>
        <w:bidi w:val="0"/>
        <w:spacing w:line="560" w:lineRule="exact"/>
        <w:ind w:firstLine="4942" w:firstLineChars="1564"/>
        <w:textAlignment w:val="auto"/>
        <w:rPr>
          <w:rFonts w:hint="eastAsia" w:ascii="仿宋_GB2312" w:hAnsi="宋体" w:eastAsia="仿宋_GB2312" w:cs="宋体"/>
          <w:color w:val="auto"/>
          <w:sz w:val="32"/>
          <w:szCs w:val="32"/>
          <w:highlight w:val="none"/>
          <w:lang w:val="en-US" w:eastAsia="zh-CN"/>
        </w:rPr>
      </w:pPr>
      <w:r>
        <w:rPr>
          <w:rFonts w:hint="eastAsia" w:ascii="仿宋_GB2312" w:hAnsi="宋体" w:eastAsia="仿宋_GB2312" w:cs="宋体"/>
          <w:color w:val="auto"/>
          <w:sz w:val="32"/>
          <w:szCs w:val="32"/>
          <w:highlight w:val="none"/>
          <w:lang w:val="en-US" w:eastAsia="zh-CN"/>
        </w:rPr>
        <w:t>2024年8月14日</w:t>
      </w:r>
    </w:p>
    <w:p>
      <w:pPr>
        <w:adjustRightInd w:val="0"/>
        <w:snapToGrid w:val="0"/>
        <w:spacing w:line="580" w:lineRule="exact"/>
        <w:ind w:firstLine="592" w:firstLineChars="200"/>
        <w:rPr>
          <w:rFonts w:hint="eastAsia" w:ascii="仿宋" w:hAnsi="仿宋" w:eastAsia="仿宋"/>
          <w:sz w:val="30"/>
          <w:szCs w:val="30"/>
        </w:rPr>
      </w:pPr>
    </w:p>
    <w:p>
      <w:pPr>
        <w:adjustRightInd w:val="0"/>
        <w:snapToGrid w:val="0"/>
        <w:spacing w:line="580" w:lineRule="exact"/>
        <w:ind w:firstLine="592" w:firstLineChars="200"/>
        <w:rPr>
          <w:rFonts w:hint="eastAsia" w:ascii="仿宋" w:hAnsi="仿宋" w:eastAsia="仿宋"/>
          <w:sz w:val="30"/>
          <w:szCs w:val="30"/>
        </w:rPr>
      </w:pPr>
    </w:p>
    <w:p>
      <w:pPr>
        <w:adjustRightInd w:val="0"/>
        <w:snapToGrid w:val="0"/>
        <w:spacing w:line="580" w:lineRule="exact"/>
        <w:ind w:firstLine="592" w:firstLineChars="200"/>
        <w:rPr>
          <w:rFonts w:ascii="仿宋" w:hAnsi="仿宋" w:eastAsia="仿宋"/>
          <w:sz w:val="30"/>
          <w:szCs w:val="30"/>
        </w:rPr>
      </w:pPr>
    </w:p>
    <w:p>
      <w:pPr>
        <w:adjustRightInd w:val="0"/>
        <w:snapToGrid w:val="0"/>
        <w:spacing w:line="580" w:lineRule="exact"/>
        <w:ind w:firstLine="592" w:firstLineChars="200"/>
        <w:rPr>
          <w:rFonts w:ascii="仿宋" w:hAnsi="仿宋" w:eastAsia="仿宋"/>
          <w:sz w:val="30"/>
          <w:szCs w:val="30"/>
        </w:rPr>
      </w:pPr>
    </w:p>
    <w:p>
      <w:pPr>
        <w:adjustRightInd w:val="0"/>
        <w:snapToGrid w:val="0"/>
        <w:spacing w:line="360" w:lineRule="auto"/>
        <w:ind w:firstLine="592" w:firstLineChars="200"/>
        <w:rPr>
          <w:rFonts w:ascii="方正仿宋_GBK" w:eastAsia="方正仿宋_GBK"/>
          <w:sz w:val="30"/>
          <w:szCs w:val="30"/>
        </w:rPr>
      </w:pPr>
    </w:p>
    <w:p>
      <w:pPr>
        <w:adjustRightInd w:val="0"/>
        <w:snapToGrid w:val="0"/>
        <w:spacing w:line="520" w:lineRule="exact"/>
        <w:rPr>
          <w:rFonts w:ascii="方正仿宋_GBK" w:eastAsia="方正仿宋_GBK"/>
          <w:sz w:val="30"/>
          <w:szCs w:val="30"/>
        </w:rPr>
      </w:pPr>
    </w:p>
    <w:p>
      <w:pPr>
        <w:adjustRightInd w:val="0"/>
        <w:snapToGrid w:val="0"/>
        <w:spacing w:line="520" w:lineRule="exact"/>
        <w:rPr>
          <w:rFonts w:ascii="方正仿宋_GBK" w:eastAsia="方正仿宋_GBK"/>
          <w:sz w:val="30"/>
          <w:szCs w:val="30"/>
        </w:rPr>
      </w:pPr>
    </w:p>
    <w:p>
      <w:pPr>
        <w:adjustRightInd w:val="0"/>
        <w:snapToGrid w:val="0"/>
        <w:spacing w:line="520" w:lineRule="exact"/>
        <w:rPr>
          <w:rFonts w:ascii="方正仿宋_GBK" w:eastAsia="方正仿宋_GBK"/>
          <w:sz w:val="30"/>
          <w:szCs w:val="30"/>
        </w:rPr>
      </w:pPr>
    </w:p>
    <w:p>
      <w:pPr>
        <w:adjustRightInd w:val="0"/>
        <w:snapToGrid w:val="0"/>
        <w:spacing w:line="520" w:lineRule="exact"/>
        <w:rPr>
          <w:rFonts w:ascii="方正仿宋_GBK" w:eastAsia="方正仿宋_GBK"/>
          <w:sz w:val="30"/>
          <w:szCs w:val="30"/>
        </w:rPr>
      </w:pPr>
    </w:p>
    <w:p>
      <w:pPr>
        <w:adjustRightInd w:val="0"/>
        <w:snapToGrid w:val="0"/>
      </w:pPr>
    </w:p>
    <w:p>
      <w:pPr>
        <w:adjustRightInd w:val="0"/>
        <w:snapToGrid w:val="0"/>
        <w:rPr>
          <w:szCs w:val="30"/>
        </w:rPr>
      </w:pPr>
    </w:p>
    <w:sectPr>
      <w:pgSz w:w="11906" w:h="16838"/>
      <w:pgMar w:top="2098" w:right="1531" w:bottom="1814" w:left="1531" w:header="851" w:footer="992" w:gutter="0"/>
      <w:cols w:space="425" w:num="1"/>
      <w:docGrid w:type="linesAndChars" w:linePitch="312"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84E46"/>
    <w:multiLevelType w:val="singleLevel"/>
    <w:tmpl w:val="14984E4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xOTBiZTEyZWE2MTE4OTI3NjNlNWY4MzM0YjA0ZGMifQ=="/>
  </w:docVars>
  <w:rsids>
    <w:rsidRoot w:val="002A10C7"/>
    <w:rsid w:val="00126670"/>
    <w:rsid w:val="001C4D16"/>
    <w:rsid w:val="001D5A96"/>
    <w:rsid w:val="001E0564"/>
    <w:rsid w:val="002A10C7"/>
    <w:rsid w:val="003544FF"/>
    <w:rsid w:val="003C17C7"/>
    <w:rsid w:val="003E3A48"/>
    <w:rsid w:val="00463730"/>
    <w:rsid w:val="00466EF6"/>
    <w:rsid w:val="0049389A"/>
    <w:rsid w:val="004D3A75"/>
    <w:rsid w:val="004F4A3D"/>
    <w:rsid w:val="005676E4"/>
    <w:rsid w:val="005B7166"/>
    <w:rsid w:val="005C40E2"/>
    <w:rsid w:val="006F3387"/>
    <w:rsid w:val="007534C2"/>
    <w:rsid w:val="007C1373"/>
    <w:rsid w:val="007E3963"/>
    <w:rsid w:val="0080433D"/>
    <w:rsid w:val="008918D6"/>
    <w:rsid w:val="009155C3"/>
    <w:rsid w:val="00984419"/>
    <w:rsid w:val="00A4391E"/>
    <w:rsid w:val="00A91F55"/>
    <w:rsid w:val="00B256B5"/>
    <w:rsid w:val="00B30E4C"/>
    <w:rsid w:val="00B64FB4"/>
    <w:rsid w:val="00C233AC"/>
    <w:rsid w:val="00D52741"/>
    <w:rsid w:val="00D71164"/>
    <w:rsid w:val="00F47A66"/>
    <w:rsid w:val="00F773DF"/>
    <w:rsid w:val="0EC82A4F"/>
    <w:rsid w:val="10BB6702"/>
    <w:rsid w:val="21D20B6F"/>
    <w:rsid w:val="41804B3C"/>
    <w:rsid w:val="4281349D"/>
    <w:rsid w:val="525D6B9A"/>
    <w:rsid w:val="67AC67E3"/>
    <w:rsid w:val="68562439"/>
    <w:rsid w:val="719378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uiPriority w:val="99"/>
    <w:rPr>
      <w:kern w:val="2"/>
      <w:sz w:val="18"/>
      <w:szCs w:val="18"/>
    </w:rPr>
  </w:style>
  <w:style w:type="character" w:customStyle="1" w:styleId="7">
    <w:name w:val="页脚 Char"/>
    <w:link w:val="2"/>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3191</Words>
  <Characters>3300</Characters>
  <Lines>1</Lines>
  <Paragraphs>1</Paragraphs>
  <TotalTime>191</TotalTime>
  <ScaleCrop>false</ScaleCrop>
  <LinksUpToDate>false</LinksUpToDate>
  <CharactersWithSpaces>3311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2022-01-06T07:31:00Z</dcterms:created>
  <dc:creator>微软用户</dc:creator>
  <cp:lastModifiedBy>Administrator</cp:lastModifiedBy>
  <dcterms:modified xsi:type="dcterms:W3CDTF">2024-08-14T08:24:57Z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10F8F2ABB30248DB862655CF67BF86A8_13</vt:lpwstr>
  </property>
</Properties>
</file>